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8" w:space="0" w:color="C05017"/>
          <w:left w:val="single" w:sz="8" w:space="0" w:color="C05017"/>
          <w:bottom w:val="single" w:sz="8" w:space="0" w:color="C05017"/>
          <w:right w:val="single" w:sz="8" w:space="0" w:color="C05017"/>
          <w:insideH w:val="single" w:sz="6" w:space="0" w:color="C05017"/>
          <w:insideV w:val="single" w:sz="6" w:space="0" w:color="C050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2A4AFA" w:rsidRPr="00924FF1" w14:paraId="7293DAAD" w14:textId="77777777" w:rsidTr="00914B77">
        <w:trPr>
          <w:trHeight w:val="620"/>
        </w:trPr>
        <w:tc>
          <w:tcPr>
            <w:tcW w:w="5000" w:type="pct"/>
            <w:shd w:val="clear" w:color="auto" w:fill="FF7900"/>
            <w:vAlign w:val="center"/>
          </w:tcPr>
          <w:p w14:paraId="34105B85" w14:textId="77777777" w:rsidR="002A4AFA" w:rsidRPr="00463692" w:rsidRDefault="00210685" w:rsidP="00CD4A57">
            <w:pPr>
              <w:pStyle w:val="TableTitle"/>
              <w:rPr>
                <w:sz w:val="50"/>
                <w:szCs w:val="50"/>
              </w:rPr>
            </w:pPr>
            <w:bookmarkStart w:id="0" w:name="_GoBack"/>
            <w:bookmarkEnd w:id="0"/>
            <w:r w:rsidRPr="00463692">
              <w:rPr>
                <w:sz w:val="50"/>
                <w:szCs w:val="50"/>
              </w:rPr>
              <w:t>SOCIAL STUDIES</w:t>
            </w:r>
            <w:r w:rsidR="00EF4E00" w:rsidRPr="00463692">
              <w:rPr>
                <w:sz w:val="50"/>
                <w:szCs w:val="50"/>
              </w:rPr>
              <w:t xml:space="preserve"> </w:t>
            </w:r>
            <w:r w:rsidR="00535963">
              <w:rPr>
                <w:sz w:val="50"/>
                <w:szCs w:val="50"/>
              </w:rPr>
              <w:t>| Grade 7</w:t>
            </w:r>
            <w:r w:rsidR="00FB4A17" w:rsidRPr="00463692">
              <w:rPr>
                <w:sz w:val="50"/>
                <w:szCs w:val="50"/>
              </w:rPr>
              <w:t xml:space="preserve"> </w:t>
            </w:r>
            <w:r w:rsidR="00EF4E00" w:rsidRPr="00463692">
              <w:rPr>
                <w:sz w:val="50"/>
                <w:szCs w:val="50"/>
              </w:rPr>
              <w:t xml:space="preserve">| </w:t>
            </w:r>
            <w:r w:rsidR="005E4016" w:rsidRPr="00463692">
              <w:rPr>
                <w:sz w:val="50"/>
                <w:szCs w:val="50"/>
              </w:rPr>
              <w:t>LESSON PLAN</w:t>
            </w:r>
          </w:p>
        </w:tc>
      </w:tr>
      <w:tr w:rsidR="002A4AFA" w14:paraId="6BBD2DFA" w14:textId="77777777" w:rsidTr="00914B77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2D390520" w14:textId="6A22D250" w:rsidR="00655086" w:rsidRPr="00463692" w:rsidRDefault="00655086" w:rsidP="0046369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3692">
              <w:rPr>
                <w:rFonts w:ascii="Arial" w:hAnsi="Arial" w:cs="Arial"/>
                <w:sz w:val="20"/>
                <w:szCs w:val="20"/>
              </w:rPr>
              <w:t>Th</w:t>
            </w:r>
            <w:r w:rsidR="00507B9D">
              <w:rPr>
                <w:rFonts w:ascii="Arial" w:hAnsi="Arial" w:cs="Arial"/>
                <w:sz w:val="20"/>
                <w:szCs w:val="20"/>
              </w:rPr>
              <w:t>is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sample lesson plan supports Education for Reconciliation through the inclusion of First Nations, Métis</w:t>
            </w:r>
            <w:r w:rsidR="006017BC">
              <w:rPr>
                <w:rFonts w:ascii="Arial" w:hAnsi="Arial" w:cs="Arial"/>
                <w:sz w:val="20"/>
                <w:szCs w:val="20"/>
              </w:rPr>
              <w:t>,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and Inuit perspectives</w:t>
            </w:r>
            <w:r w:rsidR="006017BC">
              <w:rPr>
                <w:rFonts w:ascii="Arial" w:hAnsi="Arial" w:cs="Arial"/>
                <w:sz w:val="20"/>
                <w:szCs w:val="20"/>
              </w:rPr>
              <w:t>;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treaty education</w:t>
            </w:r>
            <w:r w:rsidR="006017BC">
              <w:rPr>
                <w:rFonts w:ascii="Arial" w:hAnsi="Arial" w:cs="Arial"/>
                <w:sz w:val="20"/>
                <w:szCs w:val="20"/>
              </w:rPr>
              <w:t>;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and residential schools’ experiences</w:t>
            </w:r>
            <w:r w:rsidR="00507B9D">
              <w:rPr>
                <w:rFonts w:ascii="Arial" w:hAnsi="Arial" w:cs="Arial"/>
                <w:sz w:val="20"/>
                <w:szCs w:val="20"/>
              </w:rPr>
              <w:t>,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with learning outcomes identified in the current Alberta Programs of Study for Grades 1 to 9 in </w:t>
            </w:r>
            <w:r w:rsidR="00B67132" w:rsidRPr="00463692">
              <w:rPr>
                <w:rFonts w:ascii="Arial" w:hAnsi="Arial" w:cs="Arial"/>
                <w:sz w:val="20"/>
                <w:szCs w:val="20"/>
              </w:rPr>
              <w:t>Social Studies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F867436" w14:textId="77777777" w:rsidR="00655086" w:rsidRPr="00463692" w:rsidRDefault="00FB4A17" w:rsidP="00463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sample</w:t>
            </w:r>
            <w:r w:rsidRPr="00463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086" w:rsidRPr="00463692">
              <w:rPr>
                <w:rFonts w:ascii="Arial" w:hAnsi="Arial" w:cs="Arial"/>
                <w:sz w:val="20"/>
                <w:szCs w:val="20"/>
              </w:rPr>
              <w:t>lesson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includes content(s) or context(s) related to one or more of the following aspects</w:t>
            </w:r>
            <w:r w:rsidR="00655086" w:rsidRPr="00463692">
              <w:rPr>
                <w:rFonts w:ascii="Arial" w:hAnsi="Arial" w:cs="Arial"/>
                <w:sz w:val="20"/>
                <w:szCs w:val="20"/>
              </w:rPr>
              <w:t xml:space="preserve"> of Education for Reconciliation:</w:t>
            </w:r>
          </w:p>
          <w:p w14:paraId="5342F571" w14:textId="77777777" w:rsidR="008D0E99" w:rsidRDefault="00655086" w:rsidP="008D0E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D0E99">
              <w:rPr>
                <w:rFonts w:ascii="Arial" w:hAnsi="Arial" w:cs="Arial"/>
                <w:sz w:val="20"/>
                <w:szCs w:val="20"/>
              </w:rPr>
              <w:t>diverse perspectives and ways of knowing of First Nations, Métis</w:t>
            </w:r>
            <w:r w:rsidR="006017BC" w:rsidRPr="008D0E99">
              <w:rPr>
                <w:rFonts w:ascii="Arial" w:hAnsi="Arial" w:cs="Arial"/>
                <w:sz w:val="20"/>
                <w:szCs w:val="20"/>
              </w:rPr>
              <w:t>,</w:t>
            </w:r>
            <w:r w:rsidRPr="008D0E99">
              <w:rPr>
                <w:rFonts w:ascii="Arial" w:hAnsi="Arial" w:cs="Arial"/>
                <w:sz w:val="20"/>
                <w:szCs w:val="20"/>
              </w:rPr>
              <w:t xml:space="preserve"> or Inuit, including values, traditions, kinship, language</w:t>
            </w:r>
            <w:r w:rsidR="006017BC" w:rsidRPr="008D0E99">
              <w:rPr>
                <w:rFonts w:ascii="Arial" w:hAnsi="Arial" w:cs="Arial"/>
                <w:sz w:val="20"/>
                <w:szCs w:val="20"/>
              </w:rPr>
              <w:t>,</w:t>
            </w:r>
            <w:r w:rsidRPr="008D0E99">
              <w:rPr>
                <w:rFonts w:ascii="Arial" w:hAnsi="Arial" w:cs="Arial"/>
                <w:sz w:val="20"/>
                <w:szCs w:val="20"/>
              </w:rPr>
              <w:t xml:space="preserve"> and ways of being;</w:t>
            </w:r>
          </w:p>
          <w:p w14:paraId="3F3FF215" w14:textId="77777777" w:rsidR="008D0E99" w:rsidRDefault="00655086" w:rsidP="008D0E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D0E99">
              <w:rPr>
                <w:rFonts w:ascii="Arial" w:hAnsi="Arial" w:cs="Arial"/>
                <w:sz w:val="20"/>
                <w:szCs w:val="20"/>
              </w:rPr>
              <w:t>understandings of the spirit and intent of treaties</w:t>
            </w:r>
            <w:r w:rsidR="00A52876" w:rsidRPr="008D0E99">
              <w:rPr>
                <w:rFonts w:ascii="Arial" w:hAnsi="Arial" w:cs="Arial"/>
                <w:sz w:val="20"/>
                <w:szCs w:val="20"/>
              </w:rPr>
              <w:t>;</w:t>
            </w:r>
            <w:r w:rsidRPr="008D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876" w:rsidRPr="008D0E99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57E1DD8" w14:textId="4411D801" w:rsidR="00655086" w:rsidRDefault="00655086" w:rsidP="008D0E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D0E99">
              <w:rPr>
                <w:rFonts w:ascii="Arial" w:hAnsi="Arial" w:cs="Arial"/>
                <w:sz w:val="20"/>
                <w:szCs w:val="20"/>
              </w:rPr>
              <w:t>residential schools’ experiences and resiliency.</w:t>
            </w:r>
          </w:p>
          <w:p w14:paraId="7B98877C" w14:textId="77777777" w:rsidR="008D0E99" w:rsidRPr="008D0E99" w:rsidRDefault="008D0E99" w:rsidP="008D0E9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24BA9C8" w14:textId="22A0898B" w:rsidR="00582EE3" w:rsidRPr="00463692" w:rsidRDefault="006017BC" w:rsidP="00463692">
            <w:pPr>
              <w:pStyle w:val="Tabletext"/>
              <w:spacing w:after="60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Links and relevant information in </w:t>
            </w:r>
            <w:r>
              <w:rPr>
                <w:rFonts w:cs="Arial"/>
                <w:iCs/>
                <w:szCs w:val="20"/>
              </w:rPr>
              <w:t>Guiding Voices: A Curriculum Development Tool for Inclusion of First Nations, Métis and Inuit Perspectives Throughout Curriculum</w:t>
            </w:r>
            <w:r>
              <w:rPr>
                <w:rFonts w:cs="Arial"/>
                <w:szCs w:val="20"/>
              </w:rPr>
              <w:t xml:space="preserve"> and </w:t>
            </w:r>
            <w:r>
              <w:rPr>
                <w:rFonts w:cs="Arial"/>
                <w:iCs/>
                <w:szCs w:val="20"/>
              </w:rPr>
              <w:t>Walking Together: First Nations, Métis and Inuit Perspectives in Curriculum</w:t>
            </w:r>
            <w:r>
              <w:rPr>
                <w:rFonts w:cs="Arial"/>
                <w:szCs w:val="20"/>
              </w:rPr>
              <w:t xml:space="preserve"> are provided to support understandings of First Nations, Métis, or Inuit ways of knowing. Both online resources are accessed through LearnAlberta.ca.</w:t>
            </w:r>
          </w:p>
        </w:tc>
      </w:tr>
      <w:tr w:rsidR="002A4AFA" w14:paraId="4D305A8D" w14:textId="77777777" w:rsidTr="00914B77">
        <w:trPr>
          <w:trHeight w:val="58"/>
        </w:trPr>
        <w:tc>
          <w:tcPr>
            <w:tcW w:w="5000" w:type="pct"/>
            <w:shd w:val="clear" w:color="auto" w:fill="FF7900"/>
            <w:vAlign w:val="center"/>
          </w:tcPr>
          <w:p w14:paraId="5399C53B" w14:textId="528B3FCE" w:rsidR="002A4AFA" w:rsidRPr="00BD3E71" w:rsidRDefault="00210685" w:rsidP="008273F7">
            <w:pPr>
              <w:tabs>
                <w:tab w:val="left" w:pos="3345"/>
              </w:tabs>
              <w:rPr>
                <w:rFonts w:cs="Arial"/>
              </w:rPr>
            </w:pPr>
            <w:r w:rsidRPr="00463692">
              <w:rPr>
                <w:rFonts w:ascii="Arial" w:hAnsi="Arial" w:cs="Arial"/>
                <w:color w:val="FFFFFF" w:themeColor="background1"/>
                <w:sz w:val="24"/>
              </w:rPr>
              <w:t>Education for Reconciliation</w:t>
            </w:r>
            <w:r w:rsidR="00655086" w:rsidRPr="00463692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  <w:r w:rsidR="00650535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655086" w:rsidRPr="00463692">
              <w:rPr>
                <w:rFonts w:ascii="Arial" w:hAnsi="Arial" w:cs="Arial"/>
                <w:color w:val="FFFFFF" w:themeColor="background1"/>
                <w:sz w:val="24"/>
              </w:rPr>
              <w:t>Perspective</w:t>
            </w:r>
          </w:p>
        </w:tc>
      </w:tr>
      <w:tr w:rsidR="00BD3E71" w14:paraId="7291DDBA" w14:textId="77777777" w:rsidTr="00914B77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530E9F33" w14:textId="77777777" w:rsidR="00BD3E71" w:rsidRDefault="00BD3E71" w:rsidP="0066649F">
            <w:pPr>
              <w:pStyle w:val="Title"/>
              <w:keepNext w:val="0"/>
              <w:keepLines w:val="0"/>
              <w:spacing w:before="120" w:after="60"/>
              <w:rPr>
                <w:rFonts w:cs="Arial"/>
                <w:color w:val="FF7900"/>
                <w:sz w:val="24"/>
                <w:szCs w:val="24"/>
              </w:rPr>
            </w:pPr>
            <w:r w:rsidRPr="0019540A">
              <w:rPr>
                <w:rFonts w:cs="Arial"/>
                <w:color w:val="FF7900"/>
                <w:sz w:val="24"/>
                <w:szCs w:val="24"/>
              </w:rPr>
              <w:t>Program of Studies Outcomes</w:t>
            </w:r>
          </w:p>
          <w:p w14:paraId="72FE4868" w14:textId="77777777" w:rsidR="00A600B9" w:rsidRPr="00406875" w:rsidRDefault="00A600B9" w:rsidP="00A60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687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Following Confederation: Canadian Expansions</w:t>
            </w:r>
            <w:r w:rsidRPr="0040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2CB8AA" w14:textId="23634713" w:rsidR="00A600B9" w:rsidRDefault="00A600B9" w:rsidP="00A600B9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7.2.4</w:t>
            </w:r>
            <w:r w:rsidRPr="00535963">
              <w:rPr>
                <w:rFonts w:ascii="Arial" w:hAnsi="Arial" w:cs="Arial"/>
                <w:b/>
                <w:sz w:val="20"/>
                <w:szCs w:val="20"/>
              </w:rPr>
              <w:tab/>
              <w:t>assess, critically, the role, contributions and influence of the Red River Métis on the development of western Canada</w:t>
            </w:r>
            <w:r w:rsidR="00FC500A">
              <w:rPr>
                <w:rFonts w:ascii="Arial" w:hAnsi="Arial" w:cs="Arial"/>
                <w:b/>
                <w:sz w:val="20"/>
                <w:szCs w:val="20"/>
              </w:rPr>
              <w:t xml:space="preserve"> by exploring and reflecting upon the following questions and issues</w:t>
            </w:r>
            <w:r w:rsidRPr="004068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B52766" w14:textId="77777777" w:rsidR="00A600B9" w:rsidRPr="00535963" w:rsidRDefault="00A600B9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535963">
              <w:rPr>
                <w:rFonts w:ascii="Arial" w:hAnsi="Arial" w:cs="Arial"/>
                <w:sz w:val="20"/>
                <w:szCs w:val="20"/>
              </w:rPr>
              <w:t>What factors led to Louis Riel’s emergence as the leader of the Métis?</w:t>
            </w:r>
          </w:p>
          <w:p w14:paraId="36B5657F" w14:textId="77777777" w:rsidR="00D13E74" w:rsidRPr="004D6A83" w:rsidRDefault="00D13E74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bookmarkStart w:id="1" w:name="strand"/>
            <w:r w:rsidRPr="004D6A83">
              <w:rPr>
                <w:rFonts w:ascii="Arial" w:hAnsi="Arial" w:cs="Arial"/>
                <w:sz w:val="20"/>
                <w:szCs w:val="20"/>
              </w:rPr>
              <w:t xml:space="preserve">What similarities and differences exist between the causes of the Red River Resistance in 1869 and the causes of the </w:t>
            </w:r>
            <w:r w:rsidR="004D6A83">
              <w:rPr>
                <w:rFonts w:ascii="Arial" w:hAnsi="Arial" w:cs="Arial"/>
                <w:sz w:val="20"/>
                <w:szCs w:val="20"/>
              </w:rPr>
              <w:t>second Métis uprising in 1885?</w:t>
            </w:r>
          </w:p>
          <w:p w14:paraId="68039346" w14:textId="77777777" w:rsidR="00D13E74" w:rsidRPr="004D6A83" w:rsidRDefault="00D13E74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How did the Government of Canada's response to the Red River Resistance and the second Métis uprising solidify</w:t>
            </w:r>
            <w:r w:rsidR="004D6A83">
              <w:rPr>
                <w:rFonts w:ascii="Arial" w:hAnsi="Arial" w:cs="Arial"/>
                <w:sz w:val="20"/>
                <w:szCs w:val="20"/>
              </w:rPr>
              <w:t xml:space="preserve"> Canada's control of the West?</w:t>
            </w:r>
          </w:p>
          <w:p w14:paraId="6C35D1F9" w14:textId="642CA68F" w:rsidR="003C5E93" w:rsidRDefault="00D13E74" w:rsidP="00FC500A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To what extent were the Red River Resistance and the second Métis uprising means to counter assimilation?</w:t>
            </w:r>
            <w:bookmarkEnd w:id="1"/>
          </w:p>
          <w:p w14:paraId="1FFEAF44" w14:textId="77777777" w:rsidR="00FC500A" w:rsidRPr="004D6A83" w:rsidRDefault="00FC500A" w:rsidP="00FC500A">
            <w:pPr>
              <w:pStyle w:val="BodyText1"/>
              <w:ind w:left="1300"/>
              <w:rPr>
                <w:rFonts w:ascii="Arial" w:hAnsi="Arial" w:cs="Arial"/>
                <w:sz w:val="20"/>
                <w:szCs w:val="20"/>
              </w:rPr>
            </w:pPr>
          </w:p>
          <w:p w14:paraId="67C52CB9" w14:textId="793BE161" w:rsidR="00535963" w:rsidRPr="009E6CE2" w:rsidRDefault="00CC110B" w:rsidP="00FC500A">
            <w:pPr>
              <w:pStyle w:val="BodyText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Skills a</w:t>
            </w:r>
            <w:r w:rsidRPr="003C5E93">
              <w:rPr>
                <w:rFonts w:ascii="Arial" w:hAnsi="Arial" w:cs="Arial"/>
                <w:b/>
                <w:sz w:val="20"/>
                <w:szCs w:val="20"/>
              </w:rPr>
              <w:t>nd Processes</w:t>
            </w:r>
          </w:p>
          <w:p w14:paraId="1251AB5F" w14:textId="77777777" w:rsidR="00535963" w:rsidRPr="00535963" w:rsidRDefault="00535963" w:rsidP="00535963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7.S.2</w:t>
            </w:r>
            <w:r w:rsidRPr="00535963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35963">
              <w:rPr>
                <w:rFonts w:ascii="Arial" w:hAnsi="Arial" w:cs="Arial"/>
                <w:b/>
                <w:sz w:val="20"/>
                <w:szCs w:val="20"/>
                <w:lang w:val="en-CA"/>
              </w:rPr>
              <w:t>develop skills of historical thinking:</w:t>
            </w:r>
          </w:p>
          <w:p w14:paraId="62282025" w14:textId="77777777" w:rsidR="00535963" w:rsidRPr="004D6A83" w:rsidRDefault="00535963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explain the historical contexts of key events of a given time period</w:t>
            </w:r>
          </w:p>
          <w:p w14:paraId="386613F8" w14:textId="77777777" w:rsidR="00535963" w:rsidRPr="004D6A83" w:rsidRDefault="00535963" w:rsidP="004D6A83">
            <w:pPr>
              <w:pStyle w:val="BodyText1"/>
              <w:numPr>
                <w:ilvl w:val="0"/>
                <w:numId w:val="11"/>
              </w:numPr>
              <w:spacing w:after="40"/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distinguish cause, effect, sequence and correlation in historical events, including the long</w:t>
            </w:r>
            <w:r w:rsidR="00FF33AE">
              <w:rPr>
                <w:rFonts w:ascii="Arial" w:hAnsi="Arial" w:cs="Arial"/>
                <w:sz w:val="20"/>
                <w:szCs w:val="20"/>
              </w:rPr>
              <w:t>-</w:t>
            </w:r>
            <w:r w:rsidRPr="004D6A83">
              <w:rPr>
                <w:rFonts w:ascii="Arial" w:hAnsi="Arial" w:cs="Arial"/>
                <w:sz w:val="20"/>
                <w:szCs w:val="20"/>
              </w:rPr>
              <w:t xml:space="preserve"> and short-term causal relations of events</w:t>
            </w:r>
          </w:p>
          <w:p w14:paraId="3F18D37B" w14:textId="77777777" w:rsidR="00535963" w:rsidRPr="00535963" w:rsidRDefault="00535963" w:rsidP="00535963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7</w:t>
            </w:r>
            <w:r w:rsidR="005257BB">
              <w:rPr>
                <w:rFonts w:ascii="Arial" w:hAnsi="Arial" w:cs="Arial"/>
                <w:b/>
                <w:sz w:val="20"/>
                <w:szCs w:val="20"/>
                <w:lang w:val="en-CA"/>
              </w:rPr>
              <w:t>.S.5</w:t>
            </w:r>
            <w:r w:rsidRPr="00535963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>demonstrate skills of cooperation, conflict resolution and consensus building:</w:t>
            </w:r>
          </w:p>
          <w:p w14:paraId="3675ECFA" w14:textId="77777777" w:rsidR="00535963" w:rsidRPr="00535963" w:rsidRDefault="00535963" w:rsidP="004D6A83">
            <w:pPr>
              <w:pStyle w:val="BodyText1"/>
              <w:numPr>
                <w:ilvl w:val="0"/>
                <w:numId w:val="11"/>
              </w:numPr>
              <w:spacing w:after="40"/>
              <w:ind w:left="130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44C0D">
              <w:rPr>
                <w:rFonts w:ascii="Arial" w:hAnsi="Arial" w:cs="Arial"/>
                <w:sz w:val="20"/>
                <w:szCs w:val="20"/>
              </w:rPr>
              <w:t>consider the needs and perspectives of others</w:t>
            </w:r>
          </w:p>
          <w:p w14:paraId="6510FDBF" w14:textId="77777777" w:rsidR="005257BB" w:rsidRDefault="005257BB" w:rsidP="00535963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7.S.7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Pr="005257BB">
              <w:rPr>
                <w:rFonts w:ascii="Arial" w:hAnsi="Arial" w:cs="Arial"/>
                <w:b/>
                <w:sz w:val="20"/>
                <w:szCs w:val="20"/>
                <w:lang w:val="en-CA"/>
              </w:rPr>
              <w:t>apply the research process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  <w:p w14:paraId="57E37ACD" w14:textId="77777777" w:rsidR="005257BB" w:rsidRPr="004D6A83" w:rsidRDefault="005257BB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develop a position that is supported by information gathered through research</w:t>
            </w:r>
          </w:p>
          <w:p w14:paraId="4CEAF253" w14:textId="77777777" w:rsidR="005257BB" w:rsidRPr="004D6A83" w:rsidRDefault="005257BB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draw conclusions based upon research and evidence</w:t>
            </w:r>
          </w:p>
          <w:p w14:paraId="6C5F2A8C" w14:textId="77777777" w:rsidR="005257BB" w:rsidRPr="004D6A83" w:rsidRDefault="005257BB" w:rsidP="004D6A83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organize and synthesize researched information</w:t>
            </w:r>
          </w:p>
          <w:p w14:paraId="2E3A38E6" w14:textId="13200E5B" w:rsidR="008D0E99" w:rsidRPr="0066649F" w:rsidRDefault="005257BB" w:rsidP="0066649F">
            <w:pPr>
              <w:pStyle w:val="BodyText1"/>
              <w:numPr>
                <w:ilvl w:val="0"/>
                <w:numId w:val="11"/>
              </w:numPr>
              <w:ind w:left="1300"/>
              <w:rPr>
                <w:rFonts w:ascii="Arial" w:hAnsi="Arial" w:cs="Arial"/>
                <w:sz w:val="20"/>
                <w:szCs w:val="20"/>
              </w:rPr>
            </w:pPr>
            <w:r w:rsidRPr="004D6A83">
              <w:rPr>
                <w:rFonts w:ascii="Arial" w:hAnsi="Arial" w:cs="Arial"/>
                <w:sz w:val="20"/>
                <w:szCs w:val="20"/>
              </w:rPr>
              <w:t>integrate and synthesize concepts to provide an informed point of view on a research question or an issue</w:t>
            </w:r>
          </w:p>
          <w:p w14:paraId="2FD0C715" w14:textId="77777777" w:rsidR="00051218" w:rsidRDefault="00B76650" w:rsidP="0066649F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Resource</w:t>
            </w:r>
            <w:r w:rsidR="00CF510C" w:rsidRPr="0019540A">
              <w:rPr>
                <w:rFonts w:ascii="Arial" w:hAnsi="Arial" w:cs="Arial"/>
                <w:b/>
                <w:color w:val="FF7900"/>
                <w:sz w:val="24"/>
              </w:rPr>
              <w:t>s</w:t>
            </w:r>
            <w:r w:rsidRPr="0019540A">
              <w:rPr>
                <w:rStyle w:val="EndnoteReference"/>
                <w:rFonts w:ascii="Arial" w:hAnsi="Arial" w:cs="Arial"/>
                <w:b/>
                <w:color w:val="FF7900"/>
              </w:rPr>
              <w:endnoteReference w:id="1"/>
            </w:r>
          </w:p>
          <w:p w14:paraId="682EA42E" w14:textId="3DA7DB9D" w:rsidR="00A01E9E" w:rsidRPr="00A01E9E" w:rsidRDefault="00A01E9E" w:rsidP="00F12B1E">
            <w:pPr>
              <w:pStyle w:val="Title"/>
              <w:keepNext w:val="0"/>
              <w:keepLines w:val="0"/>
              <w:spacing w:after="0"/>
              <w:ind w:left="720" w:hanging="72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A01E9E">
              <w:rPr>
                <w:rFonts w:cs="Arial"/>
                <w:b w:val="0"/>
                <w:color w:val="auto"/>
                <w:sz w:val="20"/>
                <w:szCs w:val="20"/>
              </w:rPr>
              <w:t xml:space="preserve">McKay, R. (Producer), &amp; </w:t>
            </w:r>
            <w:r w:rsidR="00884413">
              <w:rPr>
                <w:rFonts w:cs="Arial"/>
                <w:b w:val="0"/>
                <w:color w:val="auto"/>
                <w:sz w:val="20"/>
                <w:szCs w:val="20"/>
              </w:rPr>
              <w:t>C. Michon, C (Director).</w:t>
            </w:r>
            <w:r w:rsidRPr="00A01E9E">
              <w:rPr>
                <w:rFonts w:cs="Arial"/>
                <w:b w:val="0"/>
                <w:color w:val="auto"/>
                <w:sz w:val="20"/>
                <w:szCs w:val="20"/>
              </w:rPr>
              <w:t> </w:t>
            </w:r>
            <w:r w:rsidRPr="00884413">
              <w:rPr>
                <w:rFonts w:cs="Arial"/>
                <w:b w:val="0"/>
                <w:i/>
                <w:iCs/>
                <w:color w:val="auto"/>
                <w:sz w:val="20"/>
                <w:szCs w:val="20"/>
              </w:rPr>
              <w:t>The Land: The Métis Nation’s Homeland History</w:t>
            </w:r>
            <w:r w:rsidRPr="00A01E9E">
              <w:rPr>
                <w:rFonts w:cs="Arial"/>
                <w:b w:val="0"/>
                <w:color w:val="auto"/>
                <w:sz w:val="20"/>
                <w:szCs w:val="20"/>
              </w:rPr>
              <w:t> </w:t>
            </w:r>
            <w:r w:rsidR="00822EC2">
              <w:rPr>
                <w:rFonts w:cs="Arial"/>
                <w:b w:val="0"/>
                <w:color w:val="auto"/>
                <w:sz w:val="20"/>
                <w:szCs w:val="20"/>
              </w:rPr>
              <w:br/>
            </w:r>
            <w:r w:rsidRPr="00A01E9E">
              <w:rPr>
                <w:rFonts w:cs="Arial"/>
                <w:b w:val="0"/>
                <w:color w:val="auto"/>
                <w:sz w:val="20"/>
                <w:szCs w:val="20"/>
              </w:rPr>
              <w:t>[Motion picture]. Can</w:t>
            </w:r>
            <w:r w:rsidR="00884413">
              <w:rPr>
                <w:rFonts w:cs="Arial"/>
                <w:b w:val="0"/>
                <w:color w:val="auto"/>
                <w:sz w:val="20"/>
                <w:szCs w:val="20"/>
              </w:rPr>
              <w:t>ada: Moving Images Distribution, 2004.</w:t>
            </w:r>
          </w:p>
          <w:p w14:paraId="738EF292" w14:textId="3A5FD6A9" w:rsidR="00F12B1E" w:rsidRPr="00A01E9E" w:rsidRDefault="00A01E9E" w:rsidP="00692F9B">
            <w:pPr>
              <w:pStyle w:val="Title"/>
              <w:spacing w:before="40" w:after="60"/>
              <w:ind w:left="7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</w:t>
            </w:r>
            <w:r w:rsidRPr="00A01E9E">
              <w:rPr>
                <w:rFonts w:cs="Arial"/>
                <w:color w:val="auto"/>
                <w:sz w:val="20"/>
                <w:szCs w:val="20"/>
              </w:rPr>
              <w:t xml:space="preserve">ynopsis: 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The history of the Mé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t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is from 1820 through 1885 is traced as they struggled with land claims, realizing without land, there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can be no self-determination. 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The </w:t>
            </w:r>
            <w:r w:rsidRPr="005B34D0">
              <w:rPr>
                <w:rFonts w:eastAsiaTheme="minorHAnsi" w:cs="Arial"/>
                <w:b w:val="0"/>
                <w:i/>
                <w:color w:val="auto"/>
                <w:sz w:val="20"/>
                <w:szCs w:val="20"/>
              </w:rPr>
              <w:t>Manitoba Act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of 1870 granted 1.4 million acres to the Red River Mé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t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is, but the land was surveyed in a way that obstructed 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it</w:t>
            </w:r>
            <w:r w:rsidR="007A0D1C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s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usefulness </w:t>
            </w:r>
            <w:r w:rsidR="00692F9B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for the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people. 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While the Mé</w:t>
            </w:r>
            <w:r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t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is saw it</w:t>
            </w:r>
            <w:r w:rsidR="007A0D1C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as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a treaty acknowledging their rights to land, the government had no intention of </w:t>
            </w:r>
            <w:r w:rsidR="003C612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i</w:t>
            </w:r>
            <w:r w:rsidRPr="00A01E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mplementing it.</w:t>
            </w:r>
          </w:p>
          <w:p w14:paraId="4DFCB104" w14:textId="28D098A0" w:rsidR="000614DF" w:rsidRPr="00D13E74" w:rsidRDefault="00884413" w:rsidP="004D6A83">
            <w:pPr>
              <w:pStyle w:val="Title"/>
              <w:keepNext w:val="0"/>
              <w:keepLines w:val="0"/>
              <w:spacing w:after="0"/>
              <w:ind w:left="720" w:hanging="72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Beaver, Jan</w:t>
            </w:r>
            <w:r w:rsidR="00B559E2" w:rsidRPr="00D13E74">
              <w:rPr>
                <w:rFonts w:cs="Arial"/>
                <w:b w:val="0"/>
                <w:color w:val="auto"/>
                <w:sz w:val="20"/>
                <w:szCs w:val="20"/>
              </w:rPr>
              <w:t>.</w:t>
            </w:r>
            <w:r w:rsidR="00B559E2" w:rsidRPr="001C4951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C77D3C" w:rsidRPr="005B34D0">
              <w:rPr>
                <w:rFonts w:cs="Arial"/>
                <w:b w:val="0"/>
                <w:color w:val="auto"/>
                <w:sz w:val="20"/>
                <w:szCs w:val="20"/>
              </w:rPr>
              <w:t>“</w:t>
            </w:r>
            <w:r w:rsidR="003C5E93" w:rsidRPr="005B34D0">
              <w:rPr>
                <w:rFonts w:cs="Arial"/>
                <w:b w:val="0"/>
                <w:color w:val="auto"/>
                <w:sz w:val="20"/>
                <w:szCs w:val="20"/>
              </w:rPr>
              <w:t>Louis Riel</w:t>
            </w:r>
            <w:r w:rsidR="00C77D3C" w:rsidRPr="005B34D0">
              <w:rPr>
                <w:rFonts w:cs="Arial"/>
                <w:b w:val="0"/>
                <w:color w:val="auto"/>
                <w:sz w:val="20"/>
                <w:szCs w:val="20"/>
              </w:rPr>
              <w:t>”</w:t>
            </w:r>
            <w:r w:rsidR="00F12B1E">
              <w:rPr>
                <w:rFonts w:cs="Arial"/>
                <w:b w:val="0"/>
                <w:color w:val="auto"/>
                <w:sz w:val="20"/>
                <w:szCs w:val="20"/>
              </w:rPr>
              <w:t xml:space="preserve"> i</w:t>
            </w:r>
            <w:r w:rsidR="003C5E93" w:rsidRPr="00A7799C">
              <w:rPr>
                <w:rFonts w:cs="Arial"/>
                <w:b w:val="0"/>
                <w:color w:val="auto"/>
                <w:sz w:val="20"/>
                <w:szCs w:val="20"/>
              </w:rPr>
              <w:t>n J. D. Wilhelm</w:t>
            </w:r>
            <w:r w:rsidR="003C5E93">
              <w:rPr>
                <w:rFonts w:cs="Arial"/>
                <w:b w:val="0"/>
                <w:color w:val="auto"/>
                <w:sz w:val="20"/>
                <w:szCs w:val="20"/>
              </w:rPr>
              <w:t xml:space="preserve"> (Ed.) </w:t>
            </w:r>
            <w:r w:rsidR="000614DF" w:rsidRPr="00A7799C">
              <w:rPr>
                <w:rFonts w:cs="Arial"/>
                <w:b w:val="0"/>
                <w:i/>
                <w:color w:val="auto"/>
                <w:sz w:val="20"/>
                <w:szCs w:val="20"/>
              </w:rPr>
              <w:t>The 10 Most Significant Crossroads in Aboriginal Histo</w:t>
            </w:r>
            <w:r w:rsidR="003C5E93" w:rsidRPr="00A7799C">
              <w:rPr>
                <w:rFonts w:cs="Arial"/>
                <w:b w:val="0"/>
                <w:i/>
                <w:color w:val="auto"/>
                <w:sz w:val="20"/>
                <w:szCs w:val="20"/>
              </w:rPr>
              <w:t>ry</w:t>
            </w:r>
            <w:r w:rsidR="003C5E93" w:rsidRPr="00A7799C">
              <w:rPr>
                <w:rFonts w:cs="Arial"/>
                <w:b w:val="0"/>
                <w:color w:val="auto"/>
                <w:sz w:val="20"/>
                <w:szCs w:val="20"/>
              </w:rPr>
              <w:t>.</w:t>
            </w:r>
            <w:r w:rsidR="003C5E93">
              <w:rPr>
                <w:rFonts w:cs="Arial"/>
                <w:b w:val="0"/>
                <w:color w:val="auto"/>
                <w:sz w:val="20"/>
                <w:szCs w:val="20"/>
              </w:rPr>
              <w:t xml:space="preserve"> Markham, ON: </w:t>
            </w:r>
            <w:r w:rsidR="003C5E93" w:rsidRPr="00D13E74">
              <w:rPr>
                <w:rFonts w:cs="Arial"/>
                <w:b w:val="0"/>
                <w:color w:val="auto"/>
                <w:sz w:val="20"/>
                <w:szCs w:val="20"/>
              </w:rPr>
              <w:t>Scholastic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, 2008</w:t>
            </w:r>
            <w:r w:rsidR="00D13E74">
              <w:rPr>
                <w:rFonts w:cs="Arial"/>
                <w:b w:val="0"/>
                <w:color w:val="auto"/>
                <w:sz w:val="20"/>
                <w:szCs w:val="20"/>
              </w:rPr>
              <w:t>.</w:t>
            </w:r>
            <w:r w:rsidR="00D34EAF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r w:rsidR="00D34EAF" w:rsidRPr="00884413">
              <w:rPr>
                <w:rFonts w:cs="Arial"/>
                <w:color w:val="auto"/>
                <w:sz w:val="20"/>
                <w:szCs w:val="20"/>
              </w:rPr>
              <w:t>ISBN-10: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1-55448-338-7.</w:t>
            </w:r>
            <w:r w:rsidR="00D34EAF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r w:rsidR="00D34EAF" w:rsidRPr="00884413">
              <w:rPr>
                <w:rFonts w:cs="Arial"/>
                <w:color w:val="auto"/>
                <w:sz w:val="20"/>
                <w:szCs w:val="20"/>
              </w:rPr>
              <w:t>ISBN-13:</w:t>
            </w:r>
            <w:r w:rsidR="00D34EAF">
              <w:rPr>
                <w:rFonts w:cs="Arial"/>
                <w:b w:val="0"/>
                <w:color w:val="auto"/>
                <w:sz w:val="20"/>
                <w:szCs w:val="20"/>
              </w:rPr>
              <w:t xml:space="preserve"> 978-1-55448-338-9</w:t>
            </w:r>
          </w:p>
          <w:p w14:paraId="721FC888" w14:textId="5754C1C9" w:rsidR="00B76650" w:rsidRPr="00F12B1E" w:rsidRDefault="00C77D3C" w:rsidP="00F12B1E">
            <w:pPr>
              <w:pStyle w:val="Title"/>
              <w:spacing w:before="40" w:after="60"/>
              <w:ind w:left="7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lastRenderedPageBreak/>
              <w:t>Summary: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r w:rsidR="00F12B1E" w:rsidRPr="00F12B1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Highlighted in this synthesis of the </w:t>
            </w:r>
            <w:r w:rsidR="00185839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second Métis uprising</w:t>
            </w:r>
            <w:r w:rsidR="005407A4" w:rsidRPr="00E96000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F12B1E" w:rsidRPr="00E96000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are the key roles </w:t>
            </w:r>
            <w:r w:rsidR="00185839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of </w:t>
            </w:r>
            <w:r w:rsidR="00F12B1E" w:rsidRPr="00E96000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Louis Riel a</w:t>
            </w:r>
            <w:r w:rsidR="005407A4" w:rsidRPr="00E96000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nd Gabriel Dumont</w:t>
            </w:r>
            <w:r w:rsidR="001C4951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1C4951" w:rsidRPr="001C4951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for Métis rights, independence</w:t>
            </w:r>
            <w:r w:rsidR="005B34D0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,</w:t>
            </w:r>
            <w:r w:rsidR="001C4951" w:rsidRPr="001C4951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and identity</w:t>
            </w:r>
            <w:r w:rsidR="009C0265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.</w:t>
            </w:r>
          </w:p>
          <w:p w14:paraId="4C714516" w14:textId="77777777" w:rsidR="006017BC" w:rsidRDefault="006017BC" w:rsidP="00F12B1E">
            <w:pPr>
              <w:spacing w:before="120" w:after="60"/>
              <w:rPr>
                <w:rFonts w:ascii="Arial" w:hAnsi="Arial" w:cs="Arial"/>
                <w:b/>
                <w:color w:val="FF7900"/>
                <w:sz w:val="24"/>
              </w:rPr>
            </w:pPr>
          </w:p>
          <w:p w14:paraId="485D00B1" w14:textId="5DBD2311" w:rsidR="00C77D3C" w:rsidRPr="00C77D3C" w:rsidRDefault="00C77D3C" w:rsidP="00F12B1E">
            <w:pPr>
              <w:spacing w:before="120" w:after="60"/>
            </w:pPr>
            <w:r w:rsidRPr="00C77D3C">
              <w:rPr>
                <w:rFonts w:ascii="Arial" w:hAnsi="Arial" w:cs="Arial"/>
                <w:b/>
                <w:color w:val="FF7900"/>
                <w:sz w:val="24"/>
              </w:rPr>
              <w:t>Purpose</w:t>
            </w:r>
          </w:p>
          <w:p w14:paraId="32F066BC" w14:textId="51798DF2" w:rsidR="00C77D3C" w:rsidRDefault="00387E1A" w:rsidP="00C77D3C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96000">
              <w:rPr>
                <w:rFonts w:ascii="Arial" w:hAnsi="Arial" w:cs="Arial"/>
                <w:sz w:val="20"/>
                <w:szCs w:val="20"/>
              </w:rPr>
              <w:t xml:space="preserve">In this lesson, </w:t>
            </w:r>
            <w:r w:rsidR="00FA04E2" w:rsidRPr="00E96000">
              <w:rPr>
                <w:rFonts w:ascii="Arial" w:hAnsi="Arial" w:cs="Arial"/>
                <w:sz w:val="20"/>
                <w:szCs w:val="20"/>
              </w:rPr>
              <w:t>s</w:t>
            </w:r>
            <w:r w:rsidR="009E6CE2" w:rsidRPr="00E96000">
              <w:rPr>
                <w:rFonts w:ascii="Arial" w:hAnsi="Arial" w:cs="Arial"/>
                <w:sz w:val="20"/>
                <w:szCs w:val="20"/>
              </w:rPr>
              <w:t xml:space="preserve">tudents will </w:t>
            </w:r>
            <w:r w:rsidR="00BA38E4" w:rsidRPr="00E96000">
              <w:rPr>
                <w:rFonts w:ascii="Arial" w:hAnsi="Arial" w:cs="Arial"/>
                <w:sz w:val="20"/>
                <w:szCs w:val="20"/>
              </w:rPr>
              <w:t xml:space="preserve">have an opportunity to explore the significance of cultural and national identity to the Métis people. Students will </w:t>
            </w:r>
            <w:r w:rsidR="009E6CE2" w:rsidRPr="00E96000">
              <w:rPr>
                <w:rFonts w:ascii="Arial" w:hAnsi="Arial" w:cs="Arial"/>
                <w:sz w:val="20"/>
                <w:szCs w:val="20"/>
              </w:rPr>
              <w:t>examine the effects of</w:t>
            </w:r>
            <w:r w:rsidR="00213C3D" w:rsidRPr="00E96000">
              <w:rPr>
                <w:rFonts w:ascii="Arial" w:hAnsi="Arial" w:cs="Arial"/>
                <w:sz w:val="20"/>
                <w:szCs w:val="20"/>
              </w:rPr>
              <w:t xml:space="preserve"> the sale of Rupert’s Land</w:t>
            </w:r>
            <w:r w:rsidR="00E96000" w:rsidRPr="00E9600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2741D0" w:rsidRPr="00E96000">
              <w:rPr>
                <w:rFonts w:ascii="Arial" w:hAnsi="Arial" w:cs="Arial"/>
                <w:sz w:val="20"/>
                <w:szCs w:val="20"/>
              </w:rPr>
              <w:t>nd short-term and long-term effects</w:t>
            </w:r>
            <w:r w:rsidR="009E6CE2" w:rsidRPr="00E96000"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="00276D9F">
              <w:rPr>
                <w:rFonts w:ascii="Arial" w:hAnsi="Arial" w:cs="Arial"/>
                <w:sz w:val="20"/>
                <w:szCs w:val="20"/>
              </w:rPr>
              <w:t xml:space="preserve"> Red River u</w:t>
            </w:r>
            <w:r w:rsidR="00C237C9" w:rsidRPr="00E96000">
              <w:rPr>
                <w:rFonts w:ascii="Arial" w:hAnsi="Arial" w:cs="Arial"/>
                <w:sz w:val="20"/>
                <w:szCs w:val="20"/>
              </w:rPr>
              <w:t>prisings</w:t>
            </w:r>
            <w:r w:rsidR="00672C8B" w:rsidRPr="00E960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96000">
              <w:rPr>
                <w:rFonts w:ascii="Arial" w:hAnsi="Arial" w:cs="Arial"/>
                <w:sz w:val="20"/>
                <w:szCs w:val="20"/>
              </w:rPr>
              <w:t>Students will</w:t>
            </w:r>
            <w:r w:rsidR="002741D0" w:rsidRPr="00E96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explore the Métis </w:t>
            </w:r>
            <w:r w:rsidR="005407A4" w:rsidRPr="00E96000">
              <w:rPr>
                <w:rFonts w:ascii="Arial" w:hAnsi="Arial" w:cs="Arial"/>
                <w:sz w:val="20"/>
                <w:szCs w:val="20"/>
              </w:rPr>
              <w:t>mission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 to protect their language, religion</w:t>
            </w:r>
            <w:r w:rsidR="00276D9F">
              <w:rPr>
                <w:rFonts w:ascii="Arial" w:hAnsi="Arial" w:cs="Arial"/>
                <w:sz w:val="20"/>
                <w:szCs w:val="20"/>
              </w:rPr>
              <w:t>,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 and culture</w:t>
            </w:r>
            <w:r w:rsidR="00C237C9" w:rsidRPr="00E960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9302A" w14:textId="77777777" w:rsidR="00F413B3" w:rsidRDefault="00F413B3" w:rsidP="00C77D3C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BA20B5E" w14:textId="77777777" w:rsidR="00B76650" w:rsidRDefault="00B76650" w:rsidP="0066649F">
            <w:pPr>
              <w:spacing w:before="12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Introduction</w:t>
            </w:r>
          </w:p>
          <w:p w14:paraId="4035DEDA" w14:textId="3B23585F" w:rsidR="00F413B3" w:rsidRDefault="00AB181C" w:rsidP="00F41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s</w:t>
            </w:r>
            <w:r w:rsidR="00C237C9">
              <w:rPr>
                <w:rFonts w:ascii="Arial" w:hAnsi="Arial" w:cs="Arial"/>
                <w:sz w:val="20"/>
                <w:szCs w:val="20"/>
              </w:rPr>
              <w:t>tudents</w:t>
            </w:r>
            <w:r w:rsidR="00C237C9" w:rsidRPr="00C237C9">
              <w:rPr>
                <w:rFonts w:ascii="Arial" w:hAnsi="Arial" w:cs="Arial"/>
                <w:sz w:val="20"/>
                <w:szCs w:val="20"/>
              </w:rPr>
              <w:t xml:space="preserve"> read the </w:t>
            </w:r>
            <w:r w:rsidR="00DC048E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DC048E" w:rsidRPr="00F413B3">
              <w:rPr>
                <w:rFonts w:ascii="Arial" w:hAnsi="Arial" w:cs="Arial"/>
                <w:sz w:val="20"/>
                <w:szCs w:val="20"/>
              </w:rPr>
              <w:t>“Louis Riel”</w:t>
            </w:r>
            <w:r w:rsidR="00C23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3B3" w:rsidRPr="00C237C9">
              <w:rPr>
                <w:rFonts w:ascii="Arial" w:hAnsi="Arial" w:cs="Arial"/>
                <w:sz w:val="20"/>
                <w:szCs w:val="20"/>
              </w:rPr>
              <w:t>on p</w:t>
            </w:r>
            <w:r w:rsidR="00F413B3">
              <w:rPr>
                <w:rFonts w:ascii="Arial" w:hAnsi="Arial" w:cs="Arial"/>
                <w:sz w:val="20"/>
                <w:szCs w:val="20"/>
              </w:rPr>
              <w:t>ages</w:t>
            </w:r>
            <w:r w:rsidR="00F413B3" w:rsidRPr="00C237C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413B3">
              <w:rPr>
                <w:rFonts w:ascii="Arial" w:hAnsi="Arial" w:cs="Arial"/>
                <w:sz w:val="20"/>
                <w:szCs w:val="20"/>
              </w:rPr>
              <w:t>0–</w:t>
            </w:r>
            <w:r w:rsidR="00F413B3" w:rsidRPr="00C237C9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F413B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237C9" w:rsidRPr="00C237C9">
              <w:rPr>
                <w:rFonts w:ascii="Arial" w:hAnsi="Arial" w:cs="Arial"/>
                <w:i/>
                <w:sz w:val="20"/>
                <w:szCs w:val="20"/>
              </w:rPr>
              <w:t>The 10 Most Significant Crossroads in Aboriginal History</w:t>
            </w:r>
            <w:r w:rsidR="00C237C9" w:rsidRPr="00C237C9">
              <w:rPr>
                <w:rFonts w:ascii="Arial" w:hAnsi="Arial" w:cs="Arial"/>
                <w:sz w:val="20"/>
                <w:szCs w:val="20"/>
              </w:rPr>
              <w:t xml:space="preserve"> and discuss</w:t>
            </w:r>
            <w:r w:rsidR="003D1D46">
              <w:rPr>
                <w:rFonts w:ascii="Arial" w:hAnsi="Arial" w:cs="Arial"/>
                <w:sz w:val="20"/>
                <w:szCs w:val="20"/>
              </w:rPr>
              <w:t xml:space="preserve"> what they learned about</w:t>
            </w:r>
            <w:r w:rsidR="00C237C9" w:rsidRPr="00C237C9">
              <w:rPr>
                <w:rFonts w:ascii="Arial" w:hAnsi="Arial" w:cs="Arial"/>
                <w:sz w:val="20"/>
                <w:szCs w:val="20"/>
              </w:rPr>
              <w:t xml:space="preserve"> Louis Riel</w:t>
            </w:r>
            <w:r w:rsidR="002741D0">
              <w:rPr>
                <w:rFonts w:ascii="Arial" w:hAnsi="Arial" w:cs="Arial"/>
                <w:sz w:val="20"/>
                <w:szCs w:val="20"/>
              </w:rPr>
              <w:t>, the Mé</w:t>
            </w:r>
            <w:r w:rsidR="00C77D3C">
              <w:rPr>
                <w:rFonts w:ascii="Arial" w:hAnsi="Arial" w:cs="Arial"/>
                <w:sz w:val="20"/>
                <w:szCs w:val="20"/>
              </w:rPr>
              <w:t xml:space="preserve">tis </w:t>
            </w:r>
            <w:r w:rsidR="00F413B3">
              <w:rPr>
                <w:rFonts w:ascii="Arial" w:hAnsi="Arial" w:cs="Arial"/>
                <w:sz w:val="20"/>
                <w:szCs w:val="20"/>
              </w:rPr>
              <w:t>n</w:t>
            </w:r>
            <w:r w:rsidR="003D1D46">
              <w:rPr>
                <w:rFonts w:ascii="Arial" w:hAnsi="Arial" w:cs="Arial"/>
                <w:sz w:val="20"/>
                <w:szCs w:val="20"/>
              </w:rPr>
              <w:t>ation</w:t>
            </w:r>
            <w:r w:rsidR="00F413B3">
              <w:rPr>
                <w:rFonts w:ascii="Arial" w:hAnsi="Arial" w:cs="Arial"/>
                <w:sz w:val="20"/>
                <w:szCs w:val="20"/>
              </w:rPr>
              <w:t>,</w:t>
            </w:r>
            <w:r w:rsidR="003D1D46">
              <w:rPr>
                <w:rFonts w:ascii="Arial" w:hAnsi="Arial" w:cs="Arial"/>
                <w:sz w:val="20"/>
                <w:szCs w:val="20"/>
              </w:rPr>
              <w:t xml:space="preserve"> and the outcome</w:t>
            </w:r>
            <w:r w:rsidR="002741D0">
              <w:rPr>
                <w:rFonts w:ascii="Arial" w:hAnsi="Arial" w:cs="Arial"/>
                <w:sz w:val="20"/>
                <w:szCs w:val="20"/>
              </w:rPr>
              <w:t>s</w:t>
            </w:r>
            <w:r w:rsidR="003D1D46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C237C9" w:rsidRPr="00C237C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F33AE">
              <w:rPr>
                <w:rFonts w:ascii="Arial" w:hAnsi="Arial" w:cs="Arial"/>
                <w:sz w:val="20"/>
                <w:szCs w:val="20"/>
              </w:rPr>
              <w:t>second Métis u</w:t>
            </w:r>
            <w:r w:rsidR="005407A4" w:rsidRPr="00E96000">
              <w:rPr>
                <w:rFonts w:ascii="Arial" w:hAnsi="Arial" w:cs="Arial"/>
                <w:sz w:val="20"/>
                <w:szCs w:val="20"/>
              </w:rPr>
              <w:t>prising</w:t>
            </w:r>
            <w:r w:rsidR="00E960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E2CE26" w14:textId="77777777" w:rsidR="00B76650" w:rsidRDefault="00B76650" w:rsidP="0066649F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Activity/Experience</w:t>
            </w:r>
          </w:p>
          <w:p w14:paraId="7AE670F6" w14:textId="77777777" w:rsidR="00F413B3" w:rsidRDefault="00473FD6" w:rsidP="00F413B3">
            <w:pPr>
              <w:rPr>
                <w:rFonts w:ascii="Arial" w:hAnsi="Arial" w:cs="Arial"/>
                <w:sz w:val="20"/>
                <w:szCs w:val="20"/>
              </w:rPr>
            </w:pPr>
            <w:r w:rsidRPr="00387E1A"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>
              <w:rPr>
                <w:rFonts w:ascii="Arial" w:hAnsi="Arial" w:cs="Arial"/>
                <w:sz w:val="20"/>
                <w:szCs w:val="20"/>
              </w:rPr>
              <w:t>watch the video</w:t>
            </w:r>
            <w:r w:rsidR="0071123F" w:rsidRPr="00822E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Land: The Métis Nation’s Homeland History</w:t>
            </w:r>
            <w:r w:rsidR="0071123F" w:rsidRPr="00A01E9E">
              <w:rPr>
                <w:rFonts w:cs="Arial"/>
                <w:sz w:val="20"/>
                <w:szCs w:val="20"/>
              </w:rPr>
              <w:t> </w:t>
            </w:r>
            <w:r w:rsidR="003D1D4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54A76">
              <w:rPr>
                <w:rFonts w:ascii="Arial" w:hAnsi="Arial" w:cs="Arial"/>
                <w:sz w:val="20"/>
                <w:szCs w:val="20"/>
              </w:rPr>
              <w:t>take</w:t>
            </w:r>
            <w:r w:rsidR="003D1D46">
              <w:rPr>
                <w:rFonts w:ascii="Arial" w:hAnsi="Arial" w:cs="Arial"/>
                <w:sz w:val="20"/>
                <w:szCs w:val="20"/>
              </w:rPr>
              <w:t xml:space="preserve"> notes </w:t>
            </w:r>
            <w:r w:rsidR="00A42F47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3D1D46">
              <w:rPr>
                <w:rFonts w:ascii="Arial" w:hAnsi="Arial" w:cs="Arial"/>
                <w:sz w:val="20"/>
                <w:szCs w:val="20"/>
              </w:rPr>
              <w:t>the causes and results</w:t>
            </w:r>
            <w:r w:rsidR="00835A2C">
              <w:rPr>
                <w:rFonts w:ascii="Arial" w:hAnsi="Arial" w:cs="Arial"/>
                <w:sz w:val="20"/>
                <w:szCs w:val="20"/>
              </w:rPr>
              <w:t xml:space="preserve"> of the Red River </w:t>
            </w:r>
            <w:r w:rsidR="00882CE7">
              <w:rPr>
                <w:rFonts w:ascii="Arial" w:hAnsi="Arial" w:cs="Arial"/>
                <w:sz w:val="20"/>
                <w:szCs w:val="20"/>
              </w:rPr>
              <w:t xml:space="preserve">Resistance </w:t>
            </w:r>
            <w:r w:rsidR="00835A2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82CE7">
              <w:rPr>
                <w:rFonts w:ascii="Arial" w:hAnsi="Arial" w:cs="Arial"/>
                <w:sz w:val="20"/>
                <w:szCs w:val="20"/>
              </w:rPr>
              <w:t xml:space="preserve">the second Métis </w:t>
            </w:r>
            <w:r w:rsidR="003D1D46">
              <w:rPr>
                <w:rFonts w:ascii="Arial" w:hAnsi="Arial" w:cs="Arial"/>
                <w:sz w:val="20"/>
                <w:szCs w:val="20"/>
              </w:rPr>
              <w:t>uprising</w:t>
            </w:r>
            <w:r w:rsidR="00A42F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4A76">
              <w:rPr>
                <w:rFonts w:ascii="Arial" w:hAnsi="Arial" w:cs="Arial"/>
                <w:sz w:val="20"/>
                <w:szCs w:val="20"/>
              </w:rPr>
              <w:t>as well as</w:t>
            </w:r>
            <w:r w:rsidR="00A42F47" w:rsidRPr="00387E1A">
              <w:rPr>
                <w:rFonts w:ascii="Arial" w:hAnsi="Arial" w:cs="Arial"/>
                <w:sz w:val="20"/>
                <w:szCs w:val="20"/>
              </w:rPr>
              <w:t xml:space="preserve"> the historical </w:t>
            </w:r>
            <w:r w:rsidR="00E96000">
              <w:rPr>
                <w:rFonts w:ascii="Arial" w:hAnsi="Arial" w:cs="Arial"/>
                <w:sz w:val="20"/>
                <w:szCs w:val="20"/>
              </w:rPr>
              <w:t>involvement</w:t>
            </w:r>
            <w:r w:rsidR="00A42F47" w:rsidRPr="00387E1A">
              <w:rPr>
                <w:rFonts w:ascii="Arial" w:hAnsi="Arial" w:cs="Arial"/>
                <w:sz w:val="20"/>
                <w:szCs w:val="20"/>
              </w:rPr>
              <w:t xml:space="preserve"> of the Red River Métis </w:t>
            </w:r>
            <w:r w:rsidR="00A42F47">
              <w:rPr>
                <w:rFonts w:ascii="Arial" w:hAnsi="Arial" w:cs="Arial"/>
                <w:sz w:val="20"/>
                <w:szCs w:val="20"/>
              </w:rPr>
              <w:t>and</w:t>
            </w:r>
            <w:r w:rsidR="00A42F47" w:rsidRPr="0038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7A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741D0">
              <w:rPr>
                <w:rFonts w:ascii="Arial" w:hAnsi="Arial" w:cs="Arial"/>
                <w:sz w:val="20"/>
                <w:szCs w:val="20"/>
              </w:rPr>
              <w:t>need to protect</w:t>
            </w:r>
            <w:r w:rsidR="00A42F47" w:rsidRPr="00387E1A">
              <w:rPr>
                <w:rFonts w:ascii="Arial" w:hAnsi="Arial" w:cs="Arial"/>
                <w:sz w:val="20"/>
                <w:szCs w:val="20"/>
              </w:rPr>
              <w:t xml:space="preserve"> their cultural identity</w:t>
            </w:r>
            <w:r w:rsidR="00A42F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B81E6B" w14:textId="77777777" w:rsidR="00F413B3" w:rsidRDefault="00F413B3" w:rsidP="00F413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E6619" w14:textId="03B63920" w:rsidR="00F90E6B" w:rsidRPr="00F90E6B" w:rsidRDefault="00AB181C" w:rsidP="00F413B3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20"/>
                <w:szCs w:val="20"/>
              </w:rPr>
              <w:t>In</w:t>
            </w:r>
            <w:r w:rsidR="003D1D46" w:rsidRPr="00F90E6B">
              <w:rPr>
                <w:rFonts w:ascii="Arial" w:hAnsi="Arial" w:cs="Arial"/>
                <w:sz w:val="20"/>
                <w:szCs w:val="20"/>
              </w:rPr>
              <w:t xml:space="preserve"> groups of 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>four</w:t>
            </w:r>
            <w:r w:rsidRPr="00F90E6B">
              <w:rPr>
                <w:rFonts w:ascii="Arial" w:hAnsi="Arial" w:cs="Arial"/>
                <w:sz w:val="20"/>
                <w:szCs w:val="20"/>
              </w:rPr>
              <w:t>,</w:t>
            </w:r>
            <w:r w:rsidR="003D1D46"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3B3">
              <w:rPr>
                <w:rFonts w:ascii="Arial" w:hAnsi="Arial" w:cs="Arial"/>
                <w:sz w:val="20"/>
                <w:szCs w:val="20"/>
              </w:rPr>
              <w:t xml:space="preserve">have students </w:t>
            </w:r>
            <w:r w:rsidR="00DC048E">
              <w:rPr>
                <w:rFonts w:ascii="Arial" w:hAnsi="Arial" w:cs="Arial"/>
                <w:sz w:val="20"/>
                <w:szCs w:val="20"/>
              </w:rPr>
              <w:t>use</w:t>
            </w:r>
            <w:r w:rsidR="00473FD6" w:rsidRPr="00F90E6B">
              <w:rPr>
                <w:rFonts w:ascii="Arial" w:hAnsi="Arial" w:cs="Arial"/>
                <w:sz w:val="20"/>
                <w:szCs w:val="20"/>
              </w:rPr>
              <w:t xml:space="preserve"> a </w:t>
            </w:r>
            <w:hyperlink r:id="rId7" w:history="1">
              <w:r w:rsidR="00473FD6" w:rsidRPr="00F90E6B">
                <w:rPr>
                  <w:rStyle w:val="Hyperlink"/>
                  <w:rFonts w:ascii="Arial" w:hAnsi="Arial" w:cs="Arial"/>
                  <w:sz w:val="20"/>
                  <w:szCs w:val="20"/>
                </w:rPr>
                <w:t>simultaneous round table</w:t>
              </w:r>
            </w:hyperlink>
            <w:r w:rsidR="003D1D46" w:rsidRPr="00F90E6B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DC048E">
              <w:rPr>
                <w:rFonts w:ascii="Arial" w:hAnsi="Arial" w:cs="Arial"/>
                <w:sz w:val="20"/>
                <w:szCs w:val="20"/>
              </w:rPr>
              <w:t xml:space="preserve"> to discuss </w:t>
            </w:r>
            <w:r w:rsidR="000E4765">
              <w:rPr>
                <w:rFonts w:ascii="Arial" w:hAnsi="Arial" w:cs="Arial"/>
                <w:sz w:val="20"/>
                <w:szCs w:val="20"/>
              </w:rPr>
              <w:t xml:space="preserve">and take notes relating to </w:t>
            </w:r>
            <w:r w:rsidR="00DC048E">
              <w:rPr>
                <w:rFonts w:ascii="Arial" w:hAnsi="Arial" w:cs="Arial"/>
                <w:sz w:val="20"/>
                <w:szCs w:val="20"/>
              </w:rPr>
              <w:t>the following questions: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B1DFF" w14:textId="77777777" w:rsidR="00F345A2" w:rsidRDefault="00F90E6B" w:rsidP="00F345A2">
            <w:pPr>
              <w:pStyle w:val="BodyText1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20"/>
                <w:szCs w:val="20"/>
              </w:rPr>
              <w:t>What factors led to Louis Riel's emergence as the leader of the Métis?</w:t>
            </w:r>
            <w:r w:rsidR="001C4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14459B" w14:textId="5A5C85C3" w:rsidR="00F345A2" w:rsidRDefault="00F90E6B" w:rsidP="00F345A2">
            <w:pPr>
              <w:pStyle w:val="BodyText1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345A2">
              <w:rPr>
                <w:rFonts w:ascii="Arial" w:hAnsi="Arial" w:cs="Arial"/>
                <w:sz w:val="20"/>
                <w:szCs w:val="20"/>
              </w:rPr>
              <w:t xml:space="preserve">What similarities and differences exist between the causes of the Red River Resistance in 1869 and the causes of the second Métis uprising in 1885? </w:t>
            </w:r>
          </w:p>
          <w:p w14:paraId="2EB118E3" w14:textId="77777777" w:rsidR="00F345A2" w:rsidRDefault="00F90E6B" w:rsidP="00F345A2">
            <w:pPr>
              <w:pStyle w:val="BodyText1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345A2">
              <w:rPr>
                <w:rFonts w:ascii="Arial" w:hAnsi="Arial" w:cs="Arial"/>
                <w:sz w:val="20"/>
                <w:szCs w:val="20"/>
              </w:rPr>
              <w:t>How did the Government of Canada's response to the Red River Resistance and the second Métis uprising solidify Canada's control of the West?</w:t>
            </w:r>
          </w:p>
          <w:p w14:paraId="48F359FB" w14:textId="3D2C3725" w:rsidR="00F90E6B" w:rsidRPr="00F345A2" w:rsidRDefault="00F90E6B" w:rsidP="00F345A2">
            <w:pPr>
              <w:pStyle w:val="BodyText1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345A2">
              <w:rPr>
                <w:rFonts w:ascii="Arial" w:hAnsi="Arial" w:cs="Arial"/>
                <w:sz w:val="20"/>
                <w:szCs w:val="20"/>
              </w:rPr>
              <w:t xml:space="preserve">To what extent were the Red River Resistance and the second Métis uprising </w:t>
            </w:r>
            <w:r w:rsidR="00421746" w:rsidRPr="00F345A2">
              <w:rPr>
                <w:rFonts w:ascii="Arial" w:hAnsi="Arial" w:cs="Arial"/>
                <w:sz w:val="20"/>
                <w:szCs w:val="20"/>
              </w:rPr>
              <w:t xml:space="preserve">a way </w:t>
            </w:r>
            <w:r w:rsidRPr="00F345A2">
              <w:rPr>
                <w:rFonts w:ascii="Arial" w:hAnsi="Arial" w:cs="Arial"/>
                <w:sz w:val="20"/>
                <w:szCs w:val="20"/>
              </w:rPr>
              <w:t>to counter assimilation?</w:t>
            </w:r>
          </w:p>
          <w:p w14:paraId="13B5DF0A" w14:textId="77777777" w:rsidR="00F413B3" w:rsidRDefault="00F413B3" w:rsidP="00F413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E1296" w14:textId="41FEA07B" w:rsidR="00F413B3" w:rsidRDefault="00F413B3" w:rsidP="00F41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each 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 xml:space="preserve">student a </w:t>
            </w:r>
            <w:r>
              <w:rPr>
                <w:rFonts w:ascii="Arial" w:hAnsi="Arial" w:cs="Arial"/>
                <w:sz w:val="20"/>
                <w:szCs w:val="20"/>
              </w:rPr>
              <w:t xml:space="preserve">handout 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 xml:space="preserve">with one </w:t>
            </w:r>
            <w:r w:rsidR="00882CE7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6C6926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>question</w:t>
            </w:r>
            <w:r w:rsidR="00882CE7">
              <w:rPr>
                <w:rFonts w:ascii="Arial" w:hAnsi="Arial" w:cs="Arial"/>
                <w:sz w:val="20"/>
                <w:szCs w:val="20"/>
              </w:rPr>
              <w:t>s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926"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>on it.</w:t>
            </w:r>
            <w:r w:rsidR="00DC0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835A2C" w:rsidRPr="00F90E6B">
              <w:rPr>
                <w:rFonts w:ascii="Arial" w:hAnsi="Arial" w:cs="Arial"/>
                <w:sz w:val="20"/>
                <w:szCs w:val="20"/>
              </w:rPr>
              <w:t>will review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 their </w:t>
            </w:r>
            <w:r w:rsidR="00835A2C" w:rsidRPr="00F90E6B">
              <w:rPr>
                <w:rFonts w:ascii="Arial" w:hAnsi="Arial" w:cs="Arial"/>
                <w:sz w:val="20"/>
                <w:szCs w:val="20"/>
              </w:rPr>
              <w:t xml:space="preserve">notes </w:t>
            </w:r>
            <w:r w:rsidR="006D21A0" w:rsidRPr="00F90E6B">
              <w:rPr>
                <w:rFonts w:ascii="Arial" w:hAnsi="Arial" w:cs="Arial"/>
                <w:sz w:val="20"/>
                <w:szCs w:val="20"/>
              </w:rPr>
              <w:t>and</w:t>
            </w:r>
            <w:r w:rsidR="00835A2C"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answer </w:t>
            </w:r>
            <w:r w:rsidR="006D21A0" w:rsidRPr="00F90E6B">
              <w:rPr>
                <w:rFonts w:ascii="Arial" w:hAnsi="Arial" w:cs="Arial"/>
                <w:sz w:val="20"/>
                <w:szCs w:val="20"/>
              </w:rPr>
              <w:t>the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 question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0E6B" w:rsidRPr="00F90E6B">
              <w:rPr>
                <w:rFonts w:ascii="Arial" w:hAnsi="Arial" w:cs="Arial"/>
                <w:sz w:val="20"/>
                <w:szCs w:val="20"/>
              </w:rPr>
              <w:t>S</w:t>
            </w:r>
            <w:r w:rsidR="007846DA" w:rsidRPr="00F90E6B">
              <w:rPr>
                <w:rFonts w:ascii="Arial" w:hAnsi="Arial" w:cs="Arial"/>
                <w:sz w:val="20"/>
                <w:szCs w:val="20"/>
              </w:rPr>
              <w:t>tudents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E6B" w:rsidRPr="00F90E6B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DC048E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rotate their </w:t>
            </w:r>
            <w:r>
              <w:rPr>
                <w:rFonts w:ascii="Arial" w:hAnsi="Arial" w:cs="Arial"/>
                <w:sz w:val="20"/>
                <w:szCs w:val="20"/>
              </w:rPr>
              <w:t>handout</w:t>
            </w:r>
            <w:r w:rsidRP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4E2" w:rsidRPr="00F90E6B">
              <w:rPr>
                <w:rFonts w:ascii="Arial" w:hAnsi="Arial" w:cs="Arial"/>
                <w:sz w:val="20"/>
                <w:szCs w:val="20"/>
              </w:rPr>
              <w:t>to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 the next student</w:t>
            </w:r>
            <w:r w:rsidR="00882CE7">
              <w:rPr>
                <w:rFonts w:ascii="Arial" w:hAnsi="Arial" w:cs="Arial"/>
                <w:sz w:val="20"/>
                <w:szCs w:val="20"/>
              </w:rPr>
              <w:t xml:space="preserve"> in the group</w:t>
            </w:r>
            <w:r w:rsidR="00FA04E2" w:rsidRPr="00F90E6B">
              <w:rPr>
                <w:rFonts w:ascii="Arial" w:hAnsi="Arial" w:cs="Arial"/>
                <w:sz w:val="20"/>
                <w:szCs w:val="20"/>
              </w:rPr>
              <w:t xml:space="preserve">, who 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adds </w:t>
            </w:r>
            <w:r w:rsidR="00DC048E">
              <w:rPr>
                <w:rFonts w:ascii="Arial" w:hAnsi="Arial" w:cs="Arial"/>
                <w:sz w:val="20"/>
                <w:szCs w:val="20"/>
              </w:rPr>
              <w:t>more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 details or perspectives to the response. This 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continues until </w:t>
            </w:r>
            <w:r w:rsidR="00DC048E" w:rsidRPr="00F90E6B">
              <w:rPr>
                <w:rFonts w:ascii="Arial" w:hAnsi="Arial" w:cs="Arial"/>
                <w:sz w:val="20"/>
                <w:szCs w:val="20"/>
              </w:rPr>
              <w:t xml:space="preserve">each student in the group </w:t>
            </w:r>
            <w:r w:rsidR="00DC048E">
              <w:rPr>
                <w:rFonts w:ascii="Arial" w:hAnsi="Arial" w:cs="Arial"/>
                <w:sz w:val="20"/>
                <w:szCs w:val="20"/>
              </w:rPr>
              <w:t xml:space="preserve">has had an opportunity to respond to 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A42F47" w:rsidRPr="00F90E6B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2C6318" w:rsidRPr="00F90E6B">
              <w:rPr>
                <w:rFonts w:ascii="Arial" w:hAnsi="Arial" w:cs="Arial"/>
                <w:sz w:val="20"/>
                <w:szCs w:val="20"/>
              </w:rPr>
              <w:t xml:space="preserve">questions. </w:t>
            </w:r>
          </w:p>
          <w:p w14:paraId="512ECFB6" w14:textId="77777777" w:rsidR="00901E33" w:rsidRDefault="00901E33" w:rsidP="0066649F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Conclusion</w:t>
            </w:r>
          </w:p>
          <w:p w14:paraId="518106E7" w14:textId="7739097D" w:rsidR="00F413B3" w:rsidRDefault="00387E1A" w:rsidP="00F413B3">
            <w:pPr>
              <w:rPr>
                <w:rFonts w:ascii="Arial" w:hAnsi="Arial" w:cs="Arial"/>
                <w:sz w:val="20"/>
                <w:szCs w:val="20"/>
              </w:rPr>
            </w:pPr>
            <w:r w:rsidRPr="00E96000">
              <w:rPr>
                <w:rFonts w:ascii="Arial" w:hAnsi="Arial" w:cs="Arial"/>
                <w:sz w:val="20"/>
                <w:szCs w:val="20"/>
              </w:rPr>
              <w:t xml:space="preserve">Students will engage in a talking circle (or </w:t>
            </w:r>
            <w:r w:rsidR="006C692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class discussion) to share their thoughts </w:t>
            </w:r>
            <w:r w:rsidR="001C10F1" w:rsidRPr="00E96000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the historical experiences </w:t>
            </w:r>
            <w:r w:rsidR="00835A2C" w:rsidRPr="00E9600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D34EAF" w:rsidRPr="00E96000">
              <w:rPr>
                <w:rFonts w:ascii="Arial" w:hAnsi="Arial" w:cs="Arial"/>
                <w:sz w:val="20"/>
                <w:szCs w:val="20"/>
              </w:rPr>
              <w:t>the Métis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926">
              <w:rPr>
                <w:rFonts w:ascii="Arial" w:hAnsi="Arial" w:cs="Arial"/>
                <w:sz w:val="20"/>
                <w:szCs w:val="20"/>
              </w:rPr>
              <w:t>who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7A4" w:rsidRPr="00E96000">
              <w:rPr>
                <w:rFonts w:ascii="Arial" w:hAnsi="Arial" w:cs="Arial"/>
                <w:sz w:val="20"/>
                <w:szCs w:val="20"/>
              </w:rPr>
              <w:t xml:space="preserve">endured challenges </w:t>
            </w:r>
            <w:r w:rsidRPr="00E96000">
              <w:rPr>
                <w:rFonts w:ascii="Arial" w:hAnsi="Arial" w:cs="Arial"/>
                <w:sz w:val="20"/>
                <w:szCs w:val="20"/>
              </w:rPr>
              <w:t>to protect their language, cultural identity</w:t>
            </w:r>
            <w:r w:rsidR="006C6926">
              <w:rPr>
                <w:rFonts w:ascii="Arial" w:hAnsi="Arial" w:cs="Arial"/>
                <w:sz w:val="20"/>
                <w:szCs w:val="20"/>
              </w:rPr>
              <w:t>,</w:t>
            </w:r>
            <w:r w:rsidRPr="00E9600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C3C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000">
              <w:rPr>
                <w:rFonts w:ascii="Arial" w:hAnsi="Arial" w:cs="Arial"/>
                <w:sz w:val="20"/>
                <w:szCs w:val="20"/>
              </w:rPr>
              <w:t>voice.</w:t>
            </w:r>
            <w:r w:rsidR="00051218" w:rsidRPr="00E96000">
              <w:rPr>
                <w:rFonts w:ascii="Arial" w:hAnsi="Arial" w:cs="Arial"/>
                <w:sz w:val="20"/>
                <w:szCs w:val="20"/>
              </w:rPr>
              <w:t xml:space="preserve"> What were some</w:t>
            </w:r>
            <w:r w:rsidR="002741D0" w:rsidRPr="00E96000">
              <w:rPr>
                <w:rFonts w:ascii="Arial" w:hAnsi="Arial" w:cs="Arial"/>
                <w:sz w:val="20"/>
                <w:szCs w:val="20"/>
              </w:rPr>
              <w:t xml:space="preserve"> short-term d</w:t>
            </w:r>
            <w:r w:rsidR="00051218" w:rsidRPr="00E96000">
              <w:rPr>
                <w:rFonts w:ascii="Arial" w:hAnsi="Arial" w:cs="Arial"/>
                <w:sz w:val="20"/>
                <w:szCs w:val="20"/>
              </w:rPr>
              <w:t xml:space="preserve">evelopments from the uprisings? </w:t>
            </w:r>
            <w:r w:rsidR="001C10F1" w:rsidRPr="00E96000">
              <w:rPr>
                <w:rFonts w:ascii="Arial" w:hAnsi="Arial" w:cs="Arial"/>
                <w:sz w:val="20"/>
                <w:szCs w:val="20"/>
              </w:rPr>
              <w:t>What are some lasting impacts from these</w:t>
            </w:r>
            <w:r w:rsidR="00051218" w:rsidRPr="00E96000">
              <w:rPr>
                <w:rFonts w:ascii="Arial" w:hAnsi="Arial" w:cs="Arial"/>
                <w:sz w:val="20"/>
                <w:szCs w:val="20"/>
              </w:rPr>
              <w:t xml:space="preserve"> historical events</w:t>
            </w:r>
            <w:r w:rsidR="001C10F1" w:rsidRPr="00E96000">
              <w:rPr>
                <w:rFonts w:ascii="Arial" w:hAnsi="Arial" w:cs="Arial"/>
                <w:sz w:val="20"/>
                <w:szCs w:val="20"/>
              </w:rPr>
              <w:t>? H</w:t>
            </w:r>
            <w:r w:rsidR="00BA38E4" w:rsidRPr="00E96000">
              <w:rPr>
                <w:rFonts w:ascii="Arial" w:hAnsi="Arial" w:cs="Arial"/>
                <w:sz w:val="20"/>
                <w:szCs w:val="20"/>
              </w:rPr>
              <w:t>ow h</w:t>
            </w:r>
            <w:r w:rsidR="001C10F1" w:rsidRPr="00E96000">
              <w:rPr>
                <w:rFonts w:ascii="Arial" w:hAnsi="Arial" w:cs="Arial"/>
                <w:sz w:val="20"/>
                <w:szCs w:val="20"/>
              </w:rPr>
              <w:t xml:space="preserve">ave the </w:t>
            </w:r>
            <w:r w:rsidR="00A7799C" w:rsidRPr="00E96000">
              <w:rPr>
                <w:rFonts w:ascii="Arial" w:hAnsi="Arial" w:cs="Arial"/>
                <w:sz w:val="20"/>
                <w:szCs w:val="20"/>
              </w:rPr>
              <w:t>Métis</w:t>
            </w:r>
            <w:r w:rsidR="001C10F1" w:rsidRPr="00E96000">
              <w:rPr>
                <w:rFonts w:ascii="Arial" w:hAnsi="Arial" w:cs="Arial"/>
                <w:sz w:val="20"/>
                <w:szCs w:val="20"/>
              </w:rPr>
              <w:t xml:space="preserve"> countered assimilation?</w:t>
            </w:r>
            <w:r w:rsidR="00835A2C" w:rsidRPr="00E96000">
              <w:rPr>
                <w:rFonts w:ascii="Arial" w:hAnsi="Arial" w:cs="Arial"/>
                <w:sz w:val="20"/>
                <w:szCs w:val="20"/>
              </w:rPr>
              <w:t xml:space="preserve"> Explain.</w:t>
            </w:r>
            <w:r w:rsidR="001C1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1CEE35" w14:textId="77777777" w:rsidR="008E6B9E" w:rsidRDefault="008E6B9E" w:rsidP="0066649F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Extension</w:t>
            </w:r>
          </w:p>
          <w:p w14:paraId="77DDB7C2" w14:textId="65A8C10D" w:rsidR="00F413B3" w:rsidRDefault="00F879FE" w:rsidP="00784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students r</w:t>
            </w:r>
            <w:r w:rsidR="00FA04E2" w:rsidRPr="00335BD2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Pr="00335BD2">
              <w:rPr>
                <w:rFonts w:ascii="Arial" w:hAnsi="Arial" w:cs="Arial"/>
                <w:sz w:val="20"/>
                <w:szCs w:val="20"/>
              </w:rPr>
              <w:t>the historic Alberta-Metis Settlement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5BD2">
              <w:rPr>
                <w:rFonts w:ascii="Arial" w:hAnsi="Arial" w:cs="Arial"/>
                <w:sz w:val="20"/>
                <w:szCs w:val="20"/>
              </w:rPr>
              <w:t xml:space="preserve"> Accord 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>and 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agreement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D9F">
              <w:rPr>
                <w:rFonts w:ascii="Arial" w:hAnsi="Arial" w:cs="Arial"/>
                <w:sz w:val="20"/>
                <w:szCs w:val="20"/>
              </w:rPr>
              <w:t>to</w:t>
            </w:r>
            <w:r w:rsidR="00276D9F" w:rsidRPr="0033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04541">
              <w:rPr>
                <w:rFonts w:ascii="Arial" w:hAnsi="Arial" w:cs="Arial"/>
                <w:sz w:val="20"/>
                <w:szCs w:val="20"/>
              </w:rPr>
              <w:t xml:space="preserve">landmark 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>2016 Supr</w:t>
            </w:r>
            <w:r w:rsidR="00204541">
              <w:rPr>
                <w:rFonts w:ascii="Arial" w:hAnsi="Arial" w:cs="Arial"/>
                <w:sz w:val="20"/>
                <w:szCs w:val="20"/>
              </w:rPr>
              <w:t xml:space="preserve">eme Court ruling for Métis and </w:t>
            </w:r>
            <w:r w:rsidR="00CE553A">
              <w:rPr>
                <w:rFonts w:ascii="Arial" w:hAnsi="Arial" w:cs="Arial"/>
                <w:sz w:val="20"/>
                <w:szCs w:val="20"/>
              </w:rPr>
              <w:t>n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>on-status</w:t>
            </w:r>
            <w:r w:rsidR="0057482D" w:rsidRPr="0033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37D">
              <w:rPr>
                <w:rFonts w:ascii="Arial" w:hAnsi="Arial" w:cs="Arial"/>
                <w:sz w:val="20"/>
                <w:szCs w:val="20"/>
              </w:rPr>
              <w:t>Indians.</w:t>
            </w:r>
            <w:r w:rsidR="0062050E">
              <w:rPr>
                <w:rFonts w:ascii="Arial" w:hAnsi="Arial" w:cs="Arial"/>
                <w:sz w:val="20"/>
                <w:szCs w:val="20"/>
              </w:rPr>
              <w:t>*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BA" w:rsidRPr="00335BD2">
              <w:rPr>
                <w:rFonts w:ascii="Arial" w:hAnsi="Arial" w:cs="Arial"/>
                <w:sz w:val="20"/>
                <w:szCs w:val="20"/>
              </w:rPr>
              <w:t>What was the purpose and results of th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>ese</w:t>
            </w:r>
            <w:r w:rsidR="00E05EBA" w:rsidRPr="0033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00D" w:rsidRPr="00335BD2">
              <w:rPr>
                <w:rFonts w:ascii="Arial" w:hAnsi="Arial" w:cs="Arial"/>
                <w:sz w:val="20"/>
                <w:szCs w:val="20"/>
              </w:rPr>
              <w:t>rulings</w:t>
            </w:r>
            <w:r w:rsidR="00E05EBA" w:rsidRPr="00335BD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625A30">
              <w:rPr>
                <w:rFonts w:ascii="Arial" w:hAnsi="Arial" w:cs="Arial"/>
                <w:sz w:val="20"/>
                <w:szCs w:val="20"/>
              </w:rPr>
              <w:t>What significance</w:t>
            </w:r>
            <w:r w:rsidR="003E4A09" w:rsidRPr="00335BD2">
              <w:rPr>
                <w:rFonts w:ascii="Arial" w:hAnsi="Arial" w:cs="Arial"/>
                <w:sz w:val="20"/>
                <w:szCs w:val="20"/>
              </w:rPr>
              <w:t xml:space="preserve"> does this mean for the Métis t</w:t>
            </w:r>
            <w:r w:rsidR="00625A30">
              <w:rPr>
                <w:rFonts w:ascii="Arial" w:hAnsi="Arial" w:cs="Arial"/>
                <w:sz w:val="20"/>
                <w:szCs w:val="20"/>
              </w:rPr>
              <w:t>o be recognized as partners in C</w:t>
            </w:r>
            <w:r w:rsidR="003E4A09" w:rsidRPr="00335BD2">
              <w:rPr>
                <w:rFonts w:ascii="Arial" w:hAnsi="Arial" w:cs="Arial"/>
                <w:sz w:val="20"/>
                <w:szCs w:val="20"/>
              </w:rPr>
              <w:t xml:space="preserve">onfederation in Alberta? </w:t>
            </w:r>
            <w:r w:rsidR="00335BD2" w:rsidRPr="00335BD2">
              <w:rPr>
                <w:rFonts w:ascii="Arial" w:hAnsi="Arial" w:cs="Arial"/>
                <w:sz w:val="20"/>
                <w:szCs w:val="20"/>
              </w:rPr>
              <w:t>I</w:t>
            </w:r>
            <w:r w:rsidR="003E4A09" w:rsidRPr="00335BD2">
              <w:rPr>
                <w:rFonts w:ascii="Arial" w:hAnsi="Arial" w:cs="Arial"/>
                <w:sz w:val="20"/>
                <w:szCs w:val="20"/>
              </w:rPr>
              <w:t>n Canada?</w:t>
            </w:r>
          </w:p>
          <w:p w14:paraId="286C9B91" w14:textId="30E02BA4" w:rsidR="00901E33" w:rsidRPr="0019540A" w:rsidRDefault="00901E33" w:rsidP="0066649F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19540A">
              <w:rPr>
                <w:rFonts w:ascii="Arial" w:hAnsi="Arial" w:cs="Arial"/>
                <w:b/>
                <w:color w:val="FF7900"/>
                <w:sz w:val="24"/>
              </w:rPr>
              <w:t>Assessment for Student Learning</w:t>
            </w:r>
            <w:r w:rsidR="00D37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8D9C6" w14:textId="2377155F" w:rsidR="00901E33" w:rsidRDefault="003710FA" w:rsidP="00A52876">
            <w:pPr>
              <w:keepNext/>
              <w:keepLines/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714235">
              <w:rPr>
                <w:rFonts w:ascii="Arial" w:hAnsi="Arial" w:cs="Arial"/>
                <w:sz w:val="20"/>
                <w:szCs w:val="20"/>
              </w:rPr>
              <w:t xml:space="preserve">Students can demonstrate </w:t>
            </w:r>
            <w:r w:rsidR="00835A2C">
              <w:rPr>
                <w:rFonts w:ascii="Arial" w:hAnsi="Arial" w:cs="Arial"/>
                <w:sz w:val="20"/>
                <w:szCs w:val="20"/>
              </w:rPr>
              <w:t>their understandings</w:t>
            </w:r>
            <w:r w:rsidRPr="0071423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25599">
              <w:rPr>
                <w:rFonts w:ascii="Arial" w:hAnsi="Arial" w:cs="Arial"/>
                <w:sz w:val="20"/>
                <w:szCs w:val="20"/>
              </w:rPr>
              <w:t>Louis Riel as a centr</w:t>
            </w:r>
            <w:r w:rsidR="00654A76">
              <w:rPr>
                <w:rFonts w:ascii="Arial" w:hAnsi="Arial" w:cs="Arial"/>
                <w:sz w:val="20"/>
                <w:szCs w:val="20"/>
              </w:rPr>
              <w:t>al figure in the events that le</w:t>
            </w:r>
            <w:r w:rsidR="00725599">
              <w:rPr>
                <w:rFonts w:ascii="Arial" w:hAnsi="Arial" w:cs="Arial"/>
                <w:sz w:val="20"/>
                <w:szCs w:val="20"/>
              </w:rPr>
              <w:t xml:space="preserve">d to the Red River </w:t>
            </w:r>
            <w:r w:rsidR="00FF33AE">
              <w:rPr>
                <w:rFonts w:ascii="Arial" w:hAnsi="Arial" w:cs="Arial"/>
                <w:sz w:val="20"/>
                <w:szCs w:val="20"/>
              </w:rPr>
              <w:t xml:space="preserve">Resistance </w:t>
            </w:r>
            <w:r w:rsidR="0072559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F33AE">
              <w:rPr>
                <w:rFonts w:ascii="Arial" w:hAnsi="Arial" w:cs="Arial"/>
                <w:sz w:val="20"/>
                <w:szCs w:val="20"/>
              </w:rPr>
              <w:t>the second Métis</w:t>
            </w:r>
            <w:r w:rsidR="00835A2C">
              <w:rPr>
                <w:rFonts w:ascii="Arial" w:hAnsi="Arial" w:cs="Arial"/>
                <w:sz w:val="20"/>
                <w:szCs w:val="20"/>
              </w:rPr>
              <w:t xml:space="preserve"> uprising</w:t>
            </w:r>
            <w:r w:rsidR="00D867A8">
              <w:rPr>
                <w:rFonts w:ascii="Arial" w:hAnsi="Arial" w:cs="Arial"/>
                <w:sz w:val="20"/>
                <w:szCs w:val="20"/>
              </w:rPr>
              <w:t>,</w:t>
            </w:r>
            <w:r w:rsidR="00835A2C">
              <w:rPr>
                <w:rFonts w:ascii="Arial" w:hAnsi="Arial" w:cs="Arial"/>
                <w:sz w:val="20"/>
                <w:szCs w:val="20"/>
              </w:rPr>
              <w:t xml:space="preserve"> as well as the historical and contemporary effects and legacy of these events.</w:t>
            </w:r>
          </w:p>
          <w:p w14:paraId="27E76170" w14:textId="77777777" w:rsidR="00901E33" w:rsidRPr="009C0265" w:rsidRDefault="00901E33" w:rsidP="00463692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16"/>
                <w:szCs w:val="20"/>
              </w:rPr>
            </w:pPr>
          </w:p>
        </w:tc>
      </w:tr>
      <w:tr w:rsidR="00901E33" w14:paraId="4ACB4C1D" w14:textId="77777777" w:rsidTr="00914B77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60F412D1" w14:textId="4E28AF89" w:rsidR="002B775E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19540A">
              <w:rPr>
                <w:rFonts w:cs="Arial"/>
                <w:color w:val="FF7900"/>
                <w:sz w:val="20"/>
                <w:szCs w:val="20"/>
              </w:rPr>
              <w:lastRenderedPageBreak/>
              <w:t>Keywords:</w:t>
            </w:r>
            <w:r w:rsidR="008E6B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cultural identity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land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resistance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assimilation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Métis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Louis Riel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Red River</w:t>
            </w:r>
            <w:r w:rsidR="005A3BF6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 uprising</w:t>
            </w:r>
          </w:p>
          <w:p w14:paraId="0E82CBA6" w14:textId="77777777" w:rsidR="00901E33" w:rsidRPr="00463692" w:rsidRDefault="002B775E" w:rsidP="008E6B9E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19540A">
              <w:rPr>
                <w:rFonts w:cs="Arial"/>
                <w:color w:val="FF7900"/>
                <w:sz w:val="20"/>
                <w:szCs w:val="20"/>
              </w:rPr>
              <w:t>Themes:</w:t>
            </w:r>
            <w:r w:rsidR="008E6B9E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cultural identity;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land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self-governance</w:t>
            </w:r>
            <w:r w:rsid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>;</w:t>
            </w:r>
            <w:r w:rsidR="003710FA" w:rsidRPr="003710FA">
              <w:rPr>
                <w:rFonts w:eastAsiaTheme="minorHAnsi" w:cs="Arial"/>
                <w:b w:val="0"/>
                <w:color w:val="auto"/>
                <w:sz w:val="20"/>
                <w:szCs w:val="20"/>
              </w:rPr>
              <w:t xml:space="preserve"> assimilation</w:t>
            </w:r>
          </w:p>
        </w:tc>
      </w:tr>
    </w:tbl>
    <w:p w14:paraId="25C6C65A" w14:textId="77777777" w:rsidR="005829A6" w:rsidRDefault="005829A6">
      <w:r>
        <w:rPr>
          <w:b/>
        </w:rPr>
        <w:br w:type="page"/>
      </w:r>
    </w:p>
    <w:tbl>
      <w:tblPr>
        <w:tblStyle w:val="TableGrid"/>
        <w:tblW w:w="5000" w:type="pct"/>
        <w:tblBorders>
          <w:top w:val="single" w:sz="8" w:space="0" w:color="C05017"/>
          <w:left w:val="single" w:sz="8" w:space="0" w:color="C05017"/>
          <w:bottom w:val="single" w:sz="8" w:space="0" w:color="C05017"/>
          <w:right w:val="single" w:sz="8" w:space="0" w:color="C05017"/>
          <w:insideH w:val="single" w:sz="6" w:space="0" w:color="C05017"/>
          <w:insideV w:val="single" w:sz="6" w:space="0" w:color="C050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901E33" w14:paraId="29C326FB" w14:textId="77777777" w:rsidTr="00914B77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7433BFD6" w14:textId="51683504" w:rsidR="00901E33" w:rsidRPr="0019540A" w:rsidRDefault="002B775E" w:rsidP="0066649F">
            <w:pPr>
              <w:pStyle w:val="Title"/>
              <w:keepNext w:val="0"/>
              <w:keepLines w:val="0"/>
              <w:spacing w:before="120" w:after="60"/>
              <w:rPr>
                <w:rFonts w:cs="Arial"/>
                <w:color w:val="FF7900"/>
                <w:sz w:val="24"/>
                <w:szCs w:val="24"/>
              </w:rPr>
            </w:pPr>
            <w:r w:rsidRPr="0019540A">
              <w:rPr>
                <w:rFonts w:cs="Arial"/>
                <w:color w:val="FF7900"/>
                <w:sz w:val="24"/>
                <w:szCs w:val="24"/>
              </w:rPr>
              <w:lastRenderedPageBreak/>
              <w:t>Teacher Background</w:t>
            </w:r>
            <w:r w:rsidR="00944542" w:rsidRPr="00F12B1E">
              <w:rPr>
                <w:b w:val="0"/>
                <w:color w:val="FF7900"/>
                <w:sz w:val="22"/>
                <w:szCs w:val="24"/>
                <w:vertAlign w:val="superscript"/>
              </w:rPr>
              <w:endnoteReference w:id="2"/>
            </w:r>
          </w:p>
          <w:p w14:paraId="7A1AC718" w14:textId="26666A5E" w:rsidR="00276D9F" w:rsidRDefault="00F90E6B" w:rsidP="006664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Simultaneous Round</w:t>
            </w:r>
            <w:r w:rsidR="00276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</w:p>
          <w:p w14:paraId="005363A4" w14:textId="0A40FC46" w:rsidR="00F90E6B" w:rsidRPr="00276D9F" w:rsidRDefault="00F90E6B" w:rsidP="00276D9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1C4951"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prezi.com/qpwvlsn4j3rq/1d-simultaneous-roundtable/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FCAD3F" w14:textId="45088FE7" w:rsidR="00276D9F" w:rsidRDefault="00AB181C" w:rsidP="006664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181C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Contrast Graphic Organizer</w:t>
            </w:r>
            <w:r w:rsidR="005B3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223776" w14:textId="4653FC23" w:rsidR="00AB181C" w:rsidRPr="00276D9F" w:rsidRDefault="00882CE7" w:rsidP="00276D9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E831A9"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www.learnalberta.ca/content/ssass/html/graphicorganizers.html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A384E8" w14:textId="6A8F62B7" w:rsidR="00276D9F" w:rsidRDefault="00AB181C" w:rsidP="006664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B181C">
              <w:rPr>
                <w:rFonts w:ascii="Arial" w:hAnsi="Arial" w:cs="Arial"/>
                <w:b/>
                <w:sz w:val="20"/>
                <w:szCs w:val="20"/>
              </w:rPr>
              <w:t>Alberta Indige</w:t>
            </w:r>
            <w:r w:rsidR="005B34D0">
              <w:rPr>
                <w:rFonts w:ascii="Arial" w:hAnsi="Arial" w:cs="Arial"/>
                <w:b/>
                <w:sz w:val="20"/>
                <w:szCs w:val="20"/>
              </w:rPr>
              <w:t xml:space="preserve">nous Relations: </w:t>
            </w:r>
            <w:r w:rsidRPr="00AB181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F33AE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AB181C">
              <w:rPr>
                <w:rFonts w:ascii="Arial" w:hAnsi="Arial" w:cs="Arial"/>
                <w:b/>
                <w:sz w:val="20"/>
                <w:szCs w:val="20"/>
              </w:rPr>
              <w:t>tis in Alberta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B67C24" w14:textId="14134750" w:rsidR="00AB181C" w:rsidRPr="00276D9F" w:rsidRDefault="00AB181C" w:rsidP="00276D9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(</w:t>
            </w:r>
            <w:hyperlink r:id="rId10" w:history="1">
              <w:r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indigenous.alberta.ca/Metis-in-Alberta.cfm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637454" w14:textId="77777777" w:rsidR="00276D9F" w:rsidRDefault="00335BD2" w:rsidP="006664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35BD2">
              <w:rPr>
                <w:rFonts w:ascii="Arial" w:hAnsi="Arial" w:cs="Arial"/>
                <w:b/>
                <w:sz w:val="20"/>
                <w:szCs w:val="20"/>
              </w:rPr>
              <w:t>Landmark Supreme Court ruling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A7714A" w14:textId="201A6A0F" w:rsidR="00E831A9" w:rsidRPr="00276D9F" w:rsidRDefault="00335BD2" w:rsidP="00276D9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>(</w:t>
            </w:r>
            <w:hyperlink r:id="rId11" w:history="1">
              <w:r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news.nationalpost.com/news/canada/landmark-unanimous-supreme-court-ruling-states-metis-non-status-indians-are-federal-responsibility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40215E" w14:textId="77777777" w:rsidR="00276D9F" w:rsidRDefault="002B775E" w:rsidP="006664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1699B">
              <w:rPr>
                <w:rFonts w:ascii="Arial" w:hAnsi="Arial" w:cs="Arial"/>
                <w:b/>
                <w:sz w:val="20"/>
                <w:szCs w:val="20"/>
              </w:rPr>
              <w:t>Walking Together</w:t>
            </w:r>
            <w:r w:rsidR="0076613B" w:rsidRPr="0090230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6613B" w:rsidRPr="0042153B">
              <w:rPr>
                <w:rFonts w:ascii="Arial" w:hAnsi="Arial" w:cs="Arial"/>
                <w:b/>
                <w:sz w:val="20"/>
                <w:szCs w:val="20"/>
              </w:rPr>
              <w:t xml:space="preserve"> First Nations, Métis and Inuit Perspectives in Curriculum (Alberta Education)</w:t>
            </w:r>
            <w:r w:rsidR="00335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C543DB" w14:textId="386B6CF7" w:rsidR="002B775E" w:rsidRPr="00276D9F" w:rsidRDefault="00335BD2" w:rsidP="00276D9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>(</w:t>
            </w:r>
            <w:hyperlink r:id="rId12" w:history="1">
              <w:r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C8FF40" w14:textId="77777777" w:rsidR="000614DF" w:rsidRPr="00276D9F" w:rsidRDefault="003710FA" w:rsidP="00276D9F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 xml:space="preserve">Indigenous Pedagogy – Exploring Connections – Talking Circles </w:t>
            </w:r>
            <w:r w:rsidR="00571DAB" w:rsidRPr="00276D9F">
              <w:rPr>
                <w:rFonts w:ascii="Arial" w:hAnsi="Arial" w:cs="Arial"/>
                <w:sz w:val="20"/>
                <w:szCs w:val="20"/>
              </w:rPr>
              <w:t>Protocol</w:t>
            </w:r>
          </w:p>
          <w:p w14:paraId="00F95D8E" w14:textId="7B63A486" w:rsidR="002B775E" w:rsidRPr="00335BD2" w:rsidRDefault="003710FA" w:rsidP="00276D9F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699B"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 w:rsidR="0071699B" w:rsidRPr="0071699B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www.learnalberta.ca/content/aswt/documents/indigenous_pedagogy/talking_circles_protocol.pdf</w:t>
              </w:r>
            </w:hyperlink>
            <w:r w:rsidRPr="0071699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F5BEDD0" w14:textId="77777777" w:rsidR="00276D9F" w:rsidRDefault="002B775E" w:rsidP="006664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1699B">
              <w:rPr>
                <w:rFonts w:ascii="Arial" w:hAnsi="Arial" w:cs="Arial"/>
                <w:b/>
                <w:sz w:val="20"/>
                <w:szCs w:val="20"/>
              </w:rPr>
              <w:t>Guiding Voices</w:t>
            </w:r>
            <w:r w:rsidR="0076613B" w:rsidRPr="0042153B">
              <w:rPr>
                <w:rFonts w:ascii="Arial" w:hAnsi="Arial" w:cs="Arial"/>
                <w:b/>
                <w:sz w:val="20"/>
                <w:szCs w:val="20"/>
              </w:rPr>
              <w:t>: A Curriculum Development Tool for Inclusion of First Nations, Métis and Inuit Perspectives Throughout the Curriculum (Alberta Education)</w:t>
            </w:r>
            <w:r w:rsidR="00335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90B2AE2" w14:textId="77777777" w:rsidR="009E6CE2" w:rsidRDefault="00674347" w:rsidP="00276D9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D9F">
              <w:rPr>
                <w:rFonts w:ascii="Arial" w:hAnsi="Arial" w:cs="Arial"/>
                <w:sz w:val="20"/>
                <w:szCs w:val="20"/>
              </w:rPr>
              <w:t>(</w:t>
            </w:r>
            <w:hyperlink r:id="rId14" w:history="1">
              <w:r w:rsidRPr="00276D9F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276D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C2F87A" w14:textId="530A84C3" w:rsidR="00D16D6D" w:rsidRPr="00771F59" w:rsidRDefault="00D16D6D" w:rsidP="00771F59">
            <w:pPr>
              <w:spacing w:line="276" w:lineRule="auto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771F59">
              <w:rPr>
                <w:rFonts w:ascii="Arial" w:hAnsi="Arial" w:cs="Arial"/>
                <w:i/>
                <w:sz w:val="18"/>
                <w:szCs w:val="20"/>
              </w:rPr>
              <w:t xml:space="preserve">* </w:t>
            </w:r>
            <w:r w:rsidR="00771F59">
              <w:rPr>
                <w:rFonts w:ascii="Arial" w:hAnsi="Arial" w:cs="Arial"/>
                <w:i/>
                <w:sz w:val="18"/>
                <w:szCs w:val="20"/>
              </w:rPr>
              <w:t xml:space="preserve">Terms and Concepts: </w:t>
            </w:r>
            <w:r w:rsidR="00BC2AD7" w:rsidRPr="00771F59">
              <w:rPr>
                <w:rFonts w:ascii="Arial" w:hAnsi="Arial" w:cs="Arial"/>
                <w:i/>
                <w:sz w:val="18"/>
                <w:szCs w:val="20"/>
              </w:rPr>
              <w:t>Indian is a legal term used by the Government of Canada</w:t>
            </w:r>
            <w:r w:rsidR="00771F59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</w:tbl>
    <w:p w14:paraId="3EBB29AD" w14:textId="77777777" w:rsidR="00406875" w:rsidRPr="00335BD2" w:rsidRDefault="00406875" w:rsidP="00463692">
      <w:pPr>
        <w:rPr>
          <w:sz w:val="8"/>
        </w:rPr>
      </w:pPr>
    </w:p>
    <w:sectPr w:rsidR="00406875" w:rsidRPr="00335BD2" w:rsidSect="00A600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567" w:right="720" w:bottom="567" w:left="720" w:header="720" w:footer="567" w:gutter="0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FC41" w14:textId="77777777" w:rsidR="00DA3BC0" w:rsidRDefault="00DA3BC0" w:rsidP="00CF0402">
      <w:r>
        <w:separator/>
      </w:r>
    </w:p>
  </w:endnote>
  <w:endnote w:type="continuationSeparator" w:id="0">
    <w:p w14:paraId="46EA2D36" w14:textId="77777777" w:rsidR="00DA3BC0" w:rsidRDefault="00DA3BC0" w:rsidP="00CF0402">
      <w:r>
        <w:continuationSeparator/>
      </w:r>
    </w:p>
  </w:endnote>
  <w:endnote w:id="1">
    <w:p w14:paraId="799F9630" w14:textId="3885197A" w:rsidR="00B76650" w:rsidRPr="0019540A" w:rsidRDefault="00B76650" w:rsidP="00B76650">
      <w:pPr>
        <w:pStyle w:val="EndnoteText"/>
        <w:rPr>
          <w:rFonts w:ascii="Arial" w:hAnsi="Arial" w:cs="Arial"/>
          <w:color w:val="FF7900"/>
        </w:rPr>
      </w:pPr>
      <w:r w:rsidRPr="0019540A">
        <w:rPr>
          <w:rStyle w:val="EndnoteReference"/>
          <w:rFonts w:ascii="Arial" w:hAnsi="Arial" w:cs="Arial"/>
          <w:color w:val="FF7900"/>
        </w:rPr>
        <w:endnoteRef/>
      </w:r>
      <w:r w:rsidRPr="0019540A">
        <w:rPr>
          <w:rFonts w:ascii="Arial" w:hAnsi="Arial" w:cs="Arial"/>
          <w:color w:val="FF7900"/>
        </w:rPr>
        <w:t xml:space="preserve"> </w:t>
      </w:r>
      <w:r w:rsidR="00A01E9E">
        <w:rPr>
          <w:rFonts w:ascii="Arial" w:hAnsi="Arial" w:cs="Arial"/>
          <w:color w:val="FF7900"/>
          <w:sz w:val="18"/>
        </w:rPr>
        <w:t xml:space="preserve">Some resources may </w:t>
      </w:r>
      <w:r w:rsidRPr="0019540A">
        <w:rPr>
          <w:rFonts w:ascii="Arial" w:hAnsi="Arial" w:cs="Arial"/>
          <w:color w:val="FF7900"/>
          <w:sz w:val="18"/>
        </w:rPr>
        <w:t xml:space="preserve">not </w:t>
      </w:r>
      <w:r w:rsidR="00A01E9E">
        <w:rPr>
          <w:rFonts w:ascii="Arial" w:hAnsi="Arial" w:cs="Arial"/>
          <w:color w:val="FF7900"/>
          <w:sz w:val="18"/>
        </w:rPr>
        <w:t xml:space="preserve">be </w:t>
      </w:r>
      <w:r w:rsidRPr="0019540A">
        <w:rPr>
          <w:rFonts w:ascii="Arial" w:hAnsi="Arial" w:cs="Arial"/>
          <w:color w:val="FF7900"/>
          <w:sz w:val="18"/>
        </w:rPr>
        <w:t>authorized but are provided to identify potentially useful ideas for teaching and learning. The responsibility to evaluate these resources rests with the user. The selected resource(s) provide</w:t>
      </w:r>
      <w:r w:rsidR="00507B9D">
        <w:rPr>
          <w:rFonts w:ascii="Arial" w:hAnsi="Arial" w:cs="Arial"/>
          <w:color w:val="FF7900"/>
          <w:sz w:val="18"/>
        </w:rPr>
        <w:t>s</w:t>
      </w:r>
      <w:r w:rsidRPr="0019540A">
        <w:rPr>
          <w:rFonts w:ascii="Arial" w:hAnsi="Arial" w:cs="Arial"/>
          <w:color w:val="FF7900"/>
          <w:sz w:val="18"/>
        </w:rPr>
        <w:t xml:space="preserve"> a perspective specific to an individual, group</w:t>
      </w:r>
      <w:r w:rsidR="0056686A">
        <w:rPr>
          <w:rFonts w:ascii="Arial" w:hAnsi="Arial" w:cs="Arial"/>
          <w:color w:val="FF7900"/>
          <w:sz w:val="18"/>
        </w:rPr>
        <w:t>,</w:t>
      </w:r>
      <w:r w:rsidRPr="0019540A">
        <w:rPr>
          <w:rFonts w:ascii="Arial" w:hAnsi="Arial" w:cs="Arial"/>
          <w:color w:val="FF7900"/>
          <w:sz w:val="18"/>
        </w:rPr>
        <w:t xml:space="preserve"> or </w:t>
      </w:r>
      <w:r w:rsidR="0056686A">
        <w:rPr>
          <w:rFonts w:ascii="Arial" w:hAnsi="Arial" w:cs="Arial"/>
          <w:color w:val="FF7900"/>
          <w:sz w:val="18"/>
        </w:rPr>
        <w:t>n</w:t>
      </w:r>
      <w:r w:rsidRPr="0019540A">
        <w:rPr>
          <w:rFonts w:ascii="Arial" w:hAnsi="Arial" w:cs="Arial"/>
          <w:color w:val="FF7900"/>
          <w:sz w:val="18"/>
        </w:rPr>
        <w:t>ation</w:t>
      </w:r>
      <w:r w:rsidR="00507B9D">
        <w:rPr>
          <w:rFonts w:ascii="Arial" w:hAnsi="Arial" w:cs="Arial"/>
          <w:color w:val="FF7900"/>
          <w:sz w:val="18"/>
        </w:rPr>
        <w:t>;</w:t>
      </w:r>
      <w:r w:rsidR="00507B9D" w:rsidRPr="0019540A">
        <w:rPr>
          <w:rFonts w:ascii="Arial" w:hAnsi="Arial" w:cs="Arial"/>
          <w:color w:val="FF7900"/>
          <w:sz w:val="18"/>
        </w:rPr>
        <w:t xml:space="preserve"> </w:t>
      </w:r>
      <w:r w:rsidRPr="0019540A">
        <w:rPr>
          <w:rFonts w:ascii="Arial" w:hAnsi="Arial" w:cs="Arial"/>
          <w:color w:val="FF7900"/>
          <w:sz w:val="18"/>
        </w:rPr>
        <w:t>they are not intended to represent the perspectives of all First Nations, Métis</w:t>
      </w:r>
      <w:r w:rsidR="00FE26D8">
        <w:rPr>
          <w:rFonts w:ascii="Arial" w:hAnsi="Arial" w:cs="Arial"/>
          <w:color w:val="FF7900"/>
          <w:sz w:val="18"/>
        </w:rPr>
        <w:t>,</w:t>
      </w:r>
      <w:r w:rsidRPr="0019540A">
        <w:rPr>
          <w:rFonts w:ascii="Arial" w:hAnsi="Arial" w:cs="Arial"/>
          <w:color w:val="FF7900"/>
          <w:sz w:val="18"/>
        </w:rPr>
        <w:t xml:space="preserve"> or Inuit.</w:t>
      </w:r>
    </w:p>
  </w:endnote>
  <w:endnote w:id="2">
    <w:p w14:paraId="7A51BA5A" w14:textId="77777777" w:rsidR="00944542" w:rsidRPr="00B6167D" w:rsidRDefault="00944542" w:rsidP="00944542">
      <w:pPr>
        <w:pStyle w:val="EndnoteText"/>
        <w:rPr>
          <w:color w:val="C05017"/>
        </w:rPr>
      </w:pPr>
      <w:r w:rsidRPr="003C475F">
        <w:rPr>
          <w:rStyle w:val="EndnoteReference"/>
          <w:color w:val="FF7900"/>
        </w:rPr>
        <w:endnoteRef/>
      </w:r>
      <w:r w:rsidRPr="003C475F">
        <w:rPr>
          <w:rFonts w:ascii="Arial" w:hAnsi="Arial" w:cs="Arial"/>
          <w:color w:val="FF7900"/>
          <w:sz w:val="18"/>
        </w:rPr>
        <w:t>All website addresses listed were confirmed as accurate at the time of publication but are subject to change.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Times New Roman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B05E" w14:textId="77777777" w:rsidR="00C6324F" w:rsidRDefault="00C6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C286" w14:textId="4E1A0A72" w:rsidR="00CF0402" w:rsidRPr="0019540A" w:rsidRDefault="00944542" w:rsidP="00463692">
    <w:pPr>
      <w:pStyle w:val="Footer"/>
      <w:tabs>
        <w:tab w:val="right" w:pos="10800"/>
      </w:tabs>
      <w:spacing w:before="120"/>
      <w:rPr>
        <w:color w:val="FF7900"/>
      </w:rPr>
    </w:pPr>
    <w:r w:rsidRPr="00C94C22">
      <w:rPr>
        <w:color w:val="FF7900"/>
      </w:rPr>
      <w:t>Sample Lesson Plan</w:t>
    </w:r>
    <w:r w:rsidRPr="00CD02EA">
      <w:rPr>
        <w:noProof/>
        <w:lang w:val="en-CA" w:eastAsia="en-CA"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227AD21" wp14:editId="0729ABA6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22">
      <w:rPr>
        <w:color w:val="FF7900"/>
      </w:rPr>
      <w:tab/>
    </w:r>
    <w:r w:rsidRPr="00C94C22">
      <w:rPr>
        <w:color w:val="FF7900"/>
      </w:rPr>
      <w:fldChar w:fldCharType="begin"/>
    </w:r>
    <w:r w:rsidRPr="00C94C22">
      <w:rPr>
        <w:color w:val="FF7900"/>
      </w:rPr>
      <w:instrText xml:space="preserve"> PAGE   \* MERGEFORMAT </w:instrText>
    </w:r>
    <w:r w:rsidRPr="00C94C22">
      <w:rPr>
        <w:color w:val="FF7900"/>
      </w:rPr>
      <w:fldChar w:fldCharType="separate"/>
    </w:r>
    <w:r w:rsidR="00C6324F">
      <w:rPr>
        <w:noProof/>
        <w:color w:val="FF7900"/>
      </w:rPr>
      <w:t>3</w:t>
    </w:r>
    <w:r w:rsidRPr="00C94C22">
      <w:rPr>
        <w:noProof/>
        <w:color w:val="FF79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8E63" w14:textId="134D35D8" w:rsidR="00EF6E89" w:rsidRPr="0019540A" w:rsidRDefault="00944542" w:rsidP="00463692">
    <w:pPr>
      <w:pStyle w:val="Footer"/>
      <w:tabs>
        <w:tab w:val="right" w:pos="10800"/>
      </w:tabs>
      <w:spacing w:before="120"/>
      <w:rPr>
        <w:color w:val="FF7900"/>
      </w:rPr>
    </w:pPr>
    <w:r w:rsidRPr="00C94C22">
      <w:rPr>
        <w:color w:val="FF7900"/>
      </w:rPr>
      <w:t>Sample Lesson Plan</w:t>
    </w:r>
    <w:r w:rsidRPr="00CD02EA">
      <w:rPr>
        <w:noProof/>
        <w:lang w:val="en-CA" w:eastAsia="en-CA"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64AABEEB" wp14:editId="056B1F62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22">
      <w:rPr>
        <w:color w:val="FF7900"/>
      </w:rPr>
      <w:tab/>
    </w:r>
    <w:r w:rsidRPr="00C94C22">
      <w:rPr>
        <w:color w:val="FF7900"/>
      </w:rPr>
      <w:fldChar w:fldCharType="begin"/>
    </w:r>
    <w:r w:rsidRPr="00C94C22">
      <w:rPr>
        <w:color w:val="FF7900"/>
      </w:rPr>
      <w:instrText xml:space="preserve"> PAGE   \* MERGEFORMAT </w:instrText>
    </w:r>
    <w:r w:rsidRPr="00C94C22">
      <w:rPr>
        <w:color w:val="FF7900"/>
      </w:rPr>
      <w:fldChar w:fldCharType="separate"/>
    </w:r>
    <w:r w:rsidR="00C6324F">
      <w:rPr>
        <w:noProof/>
        <w:color w:val="FF7900"/>
      </w:rPr>
      <w:t>1</w:t>
    </w:r>
    <w:r w:rsidRPr="00C94C22">
      <w:rPr>
        <w:noProof/>
        <w:color w:val="FF79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B032" w14:textId="77777777" w:rsidR="00DA3BC0" w:rsidRDefault="00DA3BC0" w:rsidP="00CF0402">
      <w:r>
        <w:separator/>
      </w:r>
    </w:p>
  </w:footnote>
  <w:footnote w:type="continuationSeparator" w:id="0">
    <w:p w14:paraId="0A4E8F2D" w14:textId="77777777" w:rsidR="00DA3BC0" w:rsidRDefault="00DA3BC0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35EF9" w14:textId="77777777" w:rsidR="00C6324F" w:rsidRDefault="00C6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7E0A" w14:textId="77777777" w:rsidR="00CD4A57" w:rsidRPr="0019540A" w:rsidRDefault="00CD4A57" w:rsidP="00463692">
    <w:pPr>
      <w:pStyle w:val="Footer"/>
      <w:tabs>
        <w:tab w:val="right" w:pos="10800"/>
      </w:tabs>
      <w:spacing w:after="120"/>
      <w:rPr>
        <w:color w:val="FF7900"/>
      </w:rPr>
    </w:pPr>
    <w:r w:rsidRPr="0019540A">
      <w:rPr>
        <w:color w:val="FF7900"/>
      </w:rPr>
      <w:t xml:space="preserve">Social Studies, </w:t>
    </w:r>
    <w:r w:rsidR="00535963" w:rsidRPr="0019540A">
      <w:rPr>
        <w:color w:val="FF7900"/>
      </w:rPr>
      <w:t>Grade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1491" w14:textId="77777777" w:rsidR="00C6324F" w:rsidRDefault="00C63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CC"/>
    <w:multiLevelType w:val="hybridMultilevel"/>
    <w:tmpl w:val="2B826FE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8C5313B"/>
    <w:multiLevelType w:val="hybridMultilevel"/>
    <w:tmpl w:val="E6E22A2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784A"/>
    <w:multiLevelType w:val="hybridMultilevel"/>
    <w:tmpl w:val="246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6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3135"/>
    <w:multiLevelType w:val="hybridMultilevel"/>
    <w:tmpl w:val="0E08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721BE"/>
    <w:multiLevelType w:val="multilevel"/>
    <w:tmpl w:val="4D6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684"/>
    <w:multiLevelType w:val="hybridMultilevel"/>
    <w:tmpl w:val="1BB8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69DE"/>
    <w:multiLevelType w:val="hybridMultilevel"/>
    <w:tmpl w:val="4A5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154D7"/>
    <w:multiLevelType w:val="hybridMultilevel"/>
    <w:tmpl w:val="F90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0A32"/>
    <w:multiLevelType w:val="hybridMultilevel"/>
    <w:tmpl w:val="9578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92A45"/>
    <w:multiLevelType w:val="hybridMultilevel"/>
    <w:tmpl w:val="A7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B4E45"/>
    <w:multiLevelType w:val="hybridMultilevel"/>
    <w:tmpl w:val="4FA03F66"/>
    <w:lvl w:ilvl="0" w:tplc="6AE4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B16A1"/>
    <w:multiLevelType w:val="hybridMultilevel"/>
    <w:tmpl w:val="9A84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7EC6"/>
    <w:multiLevelType w:val="hybridMultilevel"/>
    <w:tmpl w:val="A22A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27F2"/>
    <w:multiLevelType w:val="hybridMultilevel"/>
    <w:tmpl w:val="5E8A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48E2"/>
    <w:multiLevelType w:val="hybridMultilevel"/>
    <w:tmpl w:val="015C7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"/>
  </w:num>
  <w:num w:numId="13">
    <w:abstractNumId w:val="19"/>
  </w:num>
  <w:num w:numId="14">
    <w:abstractNumId w:val="20"/>
  </w:num>
  <w:num w:numId="15">
    <w:abstractNumId w:val="10"/>
  </w:num>
  <w:num w:numId="16">
    <w:abstractNumId w:val="12"/>
  </w:num>
  <w:num w:numId="17">
    <w:abstractNumId w:val="14"/>
  </w:num>
  <w:num w:numId="18">
    <w:abstractNumId w:val="3"/>
  </w:num>
  <w:num w:numId="19">
    <w:abstractNumId w:val="15"/>
  </w:num>
  <w:num w:numId="20">
    <w:abstractNumId w:val="22"/>
  </w:num>
  <w:num w:numId="21">
    <w:abstractNumId w:val="21"/>
  </w:num>
  <w:num w:numId="22">
    <w:abstractNumId w:val="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F83"/>
    <w:rsid w:val="0002529B"/>
    <w:rsid w:val="00051218"/>
    <w:rsid w:val="000512BA"/>
    <w:rsid w:val="000566BB"/>
    <w:rsid w:val="000614DF"/>
    <w:rsid w:val="00070238"/>
    <w:rsid w:val="000B7CD0"/>
    <w:rsid w:val="000B7F82"/>
    <w:rsid w:val="000C3C32"/>
    <w:rsid w:val="000E4765"/>
    <w:rsid w:val="000E7CAC"/>
    <w:rsid w:val="001004F8"/>
    <w:rsid w:val="00137943"/>
    <w:rsid w:val="00142704"/>
    <w:rsid w:val="001448CA"/>
    <w:rsid w:val="00153757"/>
    <w:rsid w:val="00160BFB"/>
    <w:rsid w:val="00164708"/>
    <w:rsid w:val="00175DC1"/>
    <w:rsid w:val="00177D22"/>
    <w:rsid w:val="00185839"/>
    <w:rsid w:val="00192E24"/>
    <w:rsid w:val="0019540A"/>
    <w:rsid w:val="00195B26"/>
    <w:rsid w:val="001A47A6"/>
    <w:rsid w:val="001C10F1"/>
    <w:rsid w:val="001C4951"/>
    <w:rsid w:val="001E4F32"/>
    <w:rsid w:val="001E57C9"/>
    <w:rsid w:val="002015EB"/>
    <w:rsid w:val="00204541"/>
    <w:rsid w:val="002057EE"/>
    <w:rsid w:val="00210685"/>
    <w:rsid w:val="00213C3D"/>
    <w:rsid w:val="00216AD4"/>
    <w:rsid w:val="002266CC"/>
    <w:rsid w:val="002273A8"/>
    <w:rsid w:val="00255C42"/>
    <w:rsid w:val="002741D0"/>
    <w:rsid w:val="00276D9F"/>
    <w:rsid w:val="00297B9E"/>
    <w:rsid w:val="002A0DCE"/>
    <w:rsid w:val="002A22BC"/>
    <w:rsid w:val="002A4AFA"/>
    <w:rsid w:val="002B07D8"/>
    <w:rsid w:val="002B4645"/>
    <w:rsid w:val="002B4EEE"/>
    <w:rsid w:val="002B775E"/>
    <w:rsid w:val="002C0282"/>
    <w:rsid w:val="002C2512"/>
    <w:rsid w:val="002C6318"/>
    <w:rsid w:val="00302DDD"/>
    <w:rsid w:val="00304CA7"/>
    <w:rsid w:val="00321766"/>
    <w:rsid w:val="00335BD2"/>
    <w:rsid w:val="003363D6"/>
    <w:rsid w:val="003456BE"/>
    <w:rsid w:val="00362FA4"/>
    <w:rsid w:val="00367428"/>
    <w:rsid w:val="003710FA"/>
    <w:rsid w:val="00377F55"/>
    <w:rsid w:val="00387E1A"/>
    <w:rsid w:val="003B11A3"/>
    <w:rsid w:val="003B5B73"/>
    <w:rsid w:val="003C5E93"/>
    <w:rsid w:val="003C612A"/>
    <w:rsid w:val="003C7D91"/>
    <w:rsid w:val="003D1D46"/>
    <w:rsid w:val="003D55C1"/>
    <w:rsid w:val="003E4A09"/>
    <w:rsid w:val="00404325"/>
    <w:rsid w:val="00406875"/>
    <w:rsid w:val="00421746"/>
    <w:rsid w:val="0042195F"/>
    <w:rsid w:val="00426FFB"/>
    <w:rsid w:val="00431633"/>
    <w:rsid w:val="00463692"/>
    <w:rsid w:val="0046478F"/>
    <w:rsid w:val="00473FD6"/>
    <w:rsid w:val="004927E3"/>
    <w:rsid w:val="004C3639"/>
    <w:rsid w:val="004C6925"/>
    <w:rsid w:val="004D6A83"/>
    <w:rsid w:val="004E1E4E"/>
    <w:rsid w:val="004E705A"/>
    <w:rsid w:val="004F2569"/>
    <w:rsid w:val="00507B9D"/>
    <w:rsid w:val="005109F5"/>
    <w:rsid w:val="005257BB"/>
    <w:rsid w:val="005337D6"/>
    <w:rsid w:val="00535963"/>
    <w:rsid w:val="0053692E"/>
    <w:rsid w:val="005407A4"/>
    <w:rsid w:val="0056686A"/>
    <w:rsid w:val="00571DAB"/>
    <w:rsid w:val="0057482D"/>
    <w:rsid w:val="00575303"/>
    <w:rsid w:val="005829A6"/>
    <w:rsid w:val="00582EE3"/>
    <w:rsid w:val="005A3BF6"/>
    <w:rsid w:val="005B34D0"/>
    <w:rsid w:val="005C0B3A"/>
    <w:rsid w:val="005C58FB"/>
    <w:rsid w:val="005C5EC5"/>
    <w:rsid w:val="005D25D6"/>
    <w:rsid w:val="005D738F"/>
    <w:rsid w:val="005E4016"/>
    <w:rsid w:val="005F26A8"/>
    <w:rsid w:val="005F2FF9"/>
    <w:rsid w:val="006017BC"/>
    <w:rsid w:val="006073AC"/>
    <w:rsid w:val="00611DDC"/>
    <w:rsid w:val="0062050E"/>
    <w:rsid w:val="00625A30"/>
    <w:rsid w:val="00635933"/>
    <w:rsid w:val="00650535"/>
    <w:rsid w:val="00654A76"/>
    <w:rsid w:val="00654AE2"/>
    <w:rsid w:val="00655086"/>
    <w:rsid w:val="00662700"/>
    <w:rsid w:val="0066649F"/>
    <w:rsid w:val="00672C8B"/>
    <w:rsid w:val="00674347"/>
    <w:rsid w:val="0068073F"/>
    <w:rsid w:val="00684410"/>
    <w:rsid w:val="00692F9B"/>
    <w:rsid w:val="006B4323"/>
    <w:rsid w:val="006B4B37"/>
    <w:rsid w:val="006B632D"/>
    <w:rsid w:val="006C3D5A"/>
    <w:rsid w:val="006C6926"/>
    <w:rsid w:val="006C7404"/>
    <w:rsid w:val="006D20B9"/>
    <w:rsid w:val="006D21A0"/>
    <w:rsid w:val="006D53B9"/>
    <w:rsid w:val="006D796A"/>
    <w:rsid w:val="006F5751"/>
    <w:rsid w:val="00704DAB"/>
    <w:rsid w:val="0071123F"/>
    <w:rsid w:val="0071699B"/>
    <w:rsid w:val="0072053E"/>
    <w:rsid w:val="00725599"/>
    <w:rsid w:val="00731993"/>
    <w:rsid w:val="00747093"/>
    <w:rsid w:val="007577AE"/>
    <w:rsid w:val="0076613B"/>
    <w:rsid w:val="00770D10"/>
    <w:rsid w:val="00771F59"/>
    <w:rsid w:val="007733DF"/>
    <w:rsid w:val="007846DA"/>
    <w:rsid w:val="00795923"/>
    <w:rsid w:val="007A0D1C"/>
    <w:rsid w:val="007A4B21"/>
    <w:rsid w:val="007F758F"/>
    <w:rsid w:val="008225E6"/>
    <w:rsid w:val="00822EC2"/>
    <w:rsid w:val="00823261"/>
    <w:rsid w:val="008273F7"/>
    <w:rsid w:val="00834D3A"/>
    <w:rsid w:val="00835929"/>
    <w:rsid w:val="00835A2C"/>
    <w:rsid w:val="00841262"/>
    <w:rsid w:val="00877825"/>
    <w:rsid w:val="00882CE7"/>
    <w:rsid w:val="00884413"/>
    <w:rsid w:val="00895706"/>
    <w:rsid w:val="008B6710"/>
    <w:rsid w:val="008D0E99"/>
    <w:rsid w:val="008E6B9E"/>
    <w:rsid w:val="008F2FE9"/>
    <w:rsid w:val="008F3FE5"/>
    <w:rsid w:val="00901E33"/>
    <w:rsid w:val="00901F78"/>
    <w:rsid w:val="00914B77"/>
    <w:rsid w:val="00924FF1"/>
    <w:rsid w:val="00935ABB"/>
    <w:rsid w:val="00942B81"/>
    <w:rsid w:val="00944542"/>
    <w:rsid w:val="0095482B"/>
    <w:rsid w:val="009612E7"/>
    <w:rsid w:val="00967EB0"/>
    <w:rsid w:val="009704D3"/>
    <w:rsid w:val="00983AE7"/>
    <w:rsid w:val="0098580C"/>
    <w:rsid w:val="00987D5D"/>
    <w:rsid w:val="009B3116"/>
    <w:rsid w:val="009C0265"/>
    <w:rsid w:val="009C0BB0"/>
    <w:rsid w:val="009C6CA9"/>
    <w:rsid w:val="009D10A7"/>
    <w:rsid w:val="009E6CE2"/>
    <w:rsid w:val="009F7E8D"/>
    <w:rsid w:val="00A01E9E"/>
    <w:rsid w:val="00A20B95"/>
    <w:rsid w:val="00A20DAC"/>
    <w:rsid w:val="00A26870"/>
    <w:rsid w:val="00A42F47"/>
    <w:rsid w:val="00A52876"/>
    <w:rsid w:val="00A5302A"/>
    <w:rsid w:val="00A600B9"/>
    <w:rsid w:val="00A7799C"/>
    <w:rsid w:val="00A9422B"/>
    <w:rsid w:val="00AB181C"/>
    <w:rsid w:val="00AF460B"/>
    <w:rsid w:val="00B005A4"/>
    <w:rsid w:val="00B12DAC"/>
    <w:rsid w:val="00B23DFC"/>
    <w:rsid w:val="00B43970"/>
    <w:rsid w:val="00B44D77"/>
    <w:rsid w:val="00B559E2"/>
    <w:rsid w:val="00B56492"/>
    <w:rsid w:val="00B65FC3"/>
    <w:rsid w:val="00B67132"/>
    <w:rsid w:val="00B72DA5"/>
    <w:rsid w:val="00B76650"/>
    <w:rsid w:val="00B84A43"/>
    <w:rsid w:val="00B856A5"/>
    <w:rsid w:val="00BA38E4"/>
    <w:rsid w:val="00BC2AD7"/>
    <w:rsid w:val="00BC4EB0"/>
    <w:rsid w:val="00BC7B9B"/>
    <w:rsid w:val="00BD3E71"/>
    <w:rsid w:val="00BE0C9E"/>
    <w:rsid w:val="00BE6723"/>
    <w:rsid w:val="00BE72E4"/>
    <w:rsid w:val="00BF0DFE"/>
    <w:rsid w:val="00C13684"/>
    <w:rsid w:val="00C237C9"/>
    <w:rsid w:val="00C271BA"/>
    <w:rsid w:val="00C42B2D"/>
    <w:rsid w:val="00C45AF1"/>
    <w:rsid w:val="00C50825"/>
    <w:rsid w:val="00C6324F"/>
    <w:rsid w:val="00C77D3C"/>
    <w:rsid w:val="00C80C79"/>
    <w:rsid w:val="00CB20D7"/>
    <w:rsid w:val="00CC110B"/>
    <w:rsid w:val="00CD3A5E"/>
    <w:rsid w:val="00CD4A57"/>
    <w:rsid w:val="00CE553A"/>
    <w:rsid w:val="00CF0402"/>
    <w:rsid w:val="00CF510C"/>
    <w:rsid w:val="00D13E74"/>
    <w:rsid w:val="00D16D6D"/>
    <w:rsid w:val="00D26EAB"/>
    <w:rsid w:val="00D27844"/>
    <w:rsid w:val="00D34EAF"/>
    <w:rsid w:val="00D3700D"/>
    <w:rsid w:val="00D41D2D"/>
    <w:rsid w:val="00D648DC"/>
    <w:rsid w:val="00D73DC0"/>
    <w:rsid w:val="00D8300A"/>
    <w:rsid w:val="00D867A8"/>
    <w:rsid w:val="00DA3BC0"/>
    <w:rsid w:val="00DA7566"/>
    <w:rsid w:val="00DC048E"/>
    <w:rsid w:val="00DD0A98"/>
    <w:rsid w:val="00E038D3"/>
    <w:rsid w:val="00E05EBA"/>
    <w:rsid w:val="00E15499"/>
    <w:rsid w:val="00E15CD0"/>
    <w:rsid w:val="00E2767F"/>
    <w:rsid w:val="00E35275"/>
    <w:rsid w:val="00E540C7"/>
    <w:rsid w:val="00E66ACC"/>
    <w:rsid w:val="00E81ED0"/>
    <w:rsid w:val="00E831A9"/>
    <w:rsid w:val="00E96000"/>
    <w:rsid w:val="00EA2D7B"/>
    <w:rsid w:val="00EA363D"/>
    <w:rsid w:val="00EA6F4A"/>
    <w:rsid w:val="00EB4BC0"/>
    <w:rsid w:val="00ED037D"/>
    <w:rsid w:val="00ED49E3"/>
    <w:rsid w:val="00ED773D"/>
    <w:rsid w:val="00EE5FED"/>
    <w:rsid w:val="00EF4E00"/>
    <w:rsid w:val="00EF4F83"/>
    <w:rsid w:val="00EF6E89"/>
    <w:rsid w:val="00F11B31"/>
    <w:rsid w:val="00F12B1E"/>
    <w:rsid w:val="00F33D31"/>
    <w:rsid w:val="00F345A2"/>
    <w:rsid w:val="00F35644"/>
    <w:rsid w:val="00F413B3"/>
    <w:rsid w:val="00F4147E"/>
    <w:rsid w:val="00F772F2"/>
    <w:rsid w:val="00F77D1A"/>
    <w:rsid w:val="00F84501"/>
    <w:rsid w:val="00F86460"/>
    <w:rsid w:val="00F879FE"/>
    <w:rsid w:val="00F90E6B"/>
    <w:rsid w:val="00F9217F"/>
    <w:rsid w:val="00FA04E2"/>
    <w:rsid w:val="00FB4A17"/>
    <w:rsid w:val="00FC0EA0"/>
    <w:rsid w:val="00FC500A"/>
    <w:rsid w:val="00FC63EB"/>
    <w:rsid w:val="00FD17D0"/>
    <w:rsid w:val="00FE26D8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A288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DD0A98"/>
    <w:pPr>
      <w:spacing w:before="0" w:after="120"/>
    </w:pPr>
    <w:rPr>
      <w:rFonts w:ascii="Arial" w:hAnsi="Arial"/>
      <w:color w:val="C99B09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C45AF1"/>
    <w:rPr>
      <w:rFonts w:ascii="Arial" w:eastAsiaTheme="majorEastAsia" w:hAnsi="Arial" w:cstheme="majorBidi"/>
      <w:b/>
      <w:color w:val="C99B09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582EE3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582EE3"/>
    <w:pPr>
      <w:spacing w:after="60"/>
    </w:pPr>
    <w:rPr>
      <w:rFonts w:ascii="Times New Roman" w:hAnsi="Times New Roman"/>
      <w:b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582EE3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2EE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mallTabletitle">
    <w:name w:val="small Table title"/>
    <w:basedOn w:val="Normal"/>
    <w:qFormat/>
    <w:rsid w:val="000566BB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0566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4068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650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650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3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B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B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2B1E"/>
    <w:rPr>
      <w:vertAlign w:val="superscript"/>
    </w:rPr>
  </w:style>
  <w:style w:type="character" w:customStyle="1" w:styleId="apple-converted-space">
    <w:name w:val="apple-converted-space"/>
    <w:basedOn w:val="DefaultParagraphFont"/>
    <w:rsid w:val="00A01E9E"/>
  </w:style>
  <w:style w:type="character" w:styleId="Emphasis">
    <w:name w:val="Emphasis"/>
    <w:basedOn w:val="DefaultParagraphFont"/>
    <w:uiPriority w:val="20"/>
    <w:qFormat/>
    <w:rsid w:val="00A01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7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8170">
                                          <w:marLeft w:val="225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6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qpwvlsn4j3rq/1d-simultaneous-roundtable/" TargetMode="External"/><Relationship Id="rId13" Type="http://schemas.openxmlformats.org/officeDocument/2006/relationships/hyperlink" Target="http://www.learnalberta.ca/content/aswt/documents/indigenous_pedagogy/talking_circles_protocol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zi.com/qpwvlsn4j3rq/1d-simultaneous-roundtable/" TargetMode="External"/><Relationship Id="rId12" Type="http://schemas.openxmlformats.org/officeDocument/2006/relationships/hyperlink" Target="http://www.learnalberta.ca/content/asw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ationalpost.com/news/canada/landmark-unanimous-supreme-court-ruling-states-metis-non-status-indians-are-federal-responsibilit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digenous.alberta.ca/Metis-in-Alberta.cf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learnalberta.ca/content/ssass/html/graphicorganizers.html" TargetMode="External"/><Relationship Id="rId14" Type="http://schemas.openxmlformats.org/officeDocument/2006/relationships/hyperlink" Target="http://www.learnalberta.ca/content/fnmigv/index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2017-10-23T16:49:00Z</dcterms:created>
  <dcterms:modified xsi:type="dcterms:W3CDTF">2017-10-23T16:49:00Z</dcterms:modified>
</cp:coreProperties>
</file>