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463BFBE1" w14:textId="77777777" w:rsidTr="0033704A">
        <w:trPr>
          <w:trHeight w:val="620"/>
        </w:trPr>
        <w:tc>
          <w:tcPr>
            <w:tcW w:w="10800" w:type="dxa"/>
            <w:shd w:val="clear" w:color="auto" w:fill="FF7900"/>
            <w:vAlign w:val="center"/>
          </w:tcPr>
          <w:p w14:paraId="0865D8D4" w14:textId="6B5B57DE"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233440">
              <w:rPr>
                <w:sz w:val="50"/>
                <w:szCs w:val="50"/>
              </w:rPr>
              <w:t>| Grade 9</w:t>
            </w:r>
            <w:r w:rsidR="00FB4A17" w:rsidRPr="00463692">
              <w:rPr>
                <w:sz w:val="50"/>
                <w:szCs w:val="50"/>
              </w:rPr>
              <w:t xml:space="preserve"> </w:t>
            </w:r>
            <w:r w:rsidR="00EF4E00" w:rsidRPr="00463692">
              <w:rPr>
                <w:sz w:val="50"/>
                <w:szCs w:val="50"/>
              </w:rPr>
              <w:t xml:space="preserve">| </w:t>
            </w:r>
            <w:r w:rsidR="005E4016" w:rsidRPr="00463692">
              <w:rPr>
                <w:sz w:val="50"/>
                <w:szCs w:val="50"/>
              </w:rPr>
              <w:t>LESSON PLAN</w:t>
            </w:r>
          </w:p>
        </w:tc>
      </w:tr>
      <w:tr w:rsidR="002A4AFA" w14:paraId="234637A8" w14:textId="77777777" w:rsidTr="0033704A">
        <w:trPr>
          <w:trHeight w:val="58"/>
        </w:trPr>
        <w:tc>
          <w:tcPr>
            <w:tcW w:w="10800" w:type="dxa"/>
            <w:shd w:val="clear" w:color="auto" w:fill="auto"/>
            <w:vAlign w:val="center"/>
          </w:tcPr>
          <w:p w14:paraId="0D27DDE8" w14:textId="77777777" w:rsidR="00641BD4" w:rsidRPr="00641BD4" w:rsidRDefault="00641BD4" w:rsidP="00641BD4">
            <w:pPr>
              <w:spacing w:after="120"/>
              <w:rPr>
                <w:rFonts w:ascii="Arial" w:hAnsi="Arial" w:cs="Arial"/>
                <w:sz w:val="20"/>
                <w:szCs w:val="20"/>
              </w:rPr>
            </w:pPr>
            <w:r w:rsidRPr="00641BD4">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4D78C9E6" w14:textId="77777777" w:rsidR="00641BD4" w:rsidRPr="00641BD4" w:rsidRDefault="00641BD4" w:rsidP="00641BD4">
            <w:pPr>
              <w:rPr>
                <w:rFonts w:ascii="Arial" w:hAnsi="Arial" w:cs="Arial"/>
                <w:sz w:val="20"/>
                <w:szCs w:val="20"/>
              </w:rPr>
            </w:pPr>
            <w:r w:rsidRPr="00641BD4">
              <w:rPr>
                <w:rFonts w:ascii="Arial" w:hAnsi="Arial" w:cs="Arial"/>
                <w:sz w:val="20"/>
                <w:szCs w:val="20"/>
              </w:rPr>
              <w:t>Each sample lesson plan includes content(s) or context(s) related to one or more of the following aspects of Education for Reconciliation:</w:t>
            </w:r>
          </w:p>
          <w:p w14:paraId="2DE66B5E" w14:textId="77777777" w:rsidR="00641BD4" w:rsidRPr="00641BD4" w:rsidRDefault="00641BD4" w:rsidP="00641BD4">
            <w:pPr>
              <w:pStyle w:val="ListParagraph"/>
              <w:numPr>
                <w:ilvl w:val="0"/>
                <w:numId w:val="19"/>
              </w:numPr>
              <w:rPr>
                <w:rFonts w:ascii="Arial" w:hAnsi="Arial" w:cs="Arial"/>
                <w:sz w:val="20"/>
                <w:szCs w:val="20"/>
              </w:rPr>
            </w:pPr>
            <w:r w:rsidRPr="00641BD4">
              <w:rPr>
                <w:rFonts w:ascii="Arial" w:hAnsi="Arial" w:cs="Arial"/>
                <w:sz w:val="20"/>
                <w:szCs w:val="20"/>
              </w:rPr>
              <w:t>diverse perspectives and ways of knowing of First Nations, Métis, or Inuit, including values, traditions, kinship, language, and ways of being;</w:t>
            </w:r>
          </w:p>
          <w:p w14:paraId="7BB1B223" w14:textId="77777777" w:rsidR="00641BD4" w:rsidRPr="00641BD4" w:rsidRDefault="00641BD4" w:rsidP="00641BD4">
            <w:pPr>
              <w:pStyle w:val="ListParagraph"/>
              <w:numPr>
                <w:ilvl w:val="0"/>
                <w:numId w:val="19"/>
              </w:numPr>
              <w:rPr>
                <w:rFonts w:ascii="Arial" w:hAnsi="Arial" w:cs="Arial"/>
                <w:sz w:val="20"/>
                <w:szCs w:val="20"/>
              </w:rPr>
            </w:pPr>
            <w:r w:rsidRPr="00641BD4">
              <w:rPr>
                <w:rFonts w:ascii="Arial" w:hAnsi="Arial" w:cs="Arial"/>
                <w:sz w:val="20"/>
                <w:szCs w:val="20"/>
              </w:rPr>
              <w:t>understandings of the spirit and intent of treaties; or</w:t>
            </w:r>
          </w:p>
          <w:p w14:paraId="6B0BE35F" w14:textId="77777777" w:rsidR="00641BD4" w:rsidRPr="00641BD4" w:rsidRDefault="00641BD4" w:rsidP="00641BD4">
            <w:pPr>
              <w:pStyle w:val="ListParagraph"/>
              <w:numPr>
                <w:ilvl w:val="0"/>
                <w:numId w:val="19"/>
              </w:numPr>
              <w:rPr>
                <w:rFonts w:ascii="Arial" w:hAnsi="Arial" w:cs="Arial"/>
                <w:sz w:val="20"/>
                <w:szCs w:val="20"/>
              </w:rPr>
            </w:pPr>
            <w:r w:rsidRPr="00641BD4">
              <w:rPr>
                <w:rFonts w:ascii="Arial" w:hAnsi="Arial" w:cs="Arial"/>
                <w:sz w:val="20"/>
                <w:szCs w:val="20"/>
              </w:rPr>
              <w:t>residential schools’ experiences and resiliency.</w:t>
            </w:r>
          </w:p>
          <w:p w14:paraId="421E9AB0" w14:textId="77777777" w:rsidR="00641BD4" w:rsidRPr="00641BD4" w:rsidRDefault="00641BD4" w:rsidP="00641BD4">
            <w:pPr>
              <w:spacing w:after="60"/>
              <w:rPr>
                <w:rFonts w:ascii="Arial" w:hAnsi="Arial" w:cs="Arial"/>
                <w:sz w:val="20"/>
                <w:szCs w:val="20"/>
              </w:rPr>
            </w:pPr>
          </w:p>
          <w:p w14:paraId="1E64FCE2" w14:textId="2B21306C" w:rsidR="00582EE3" w:rsidRPr="00463692" w:rsidRDefault="00641BD4" w:rsidP="00641BD4">
            <w:pPr>
              <w:pStyle w:val="Tabletext"/>
              <w:spacing w:after="60"/>
              <w:rPr>
                <w:szCs w:val="20"/>
              </w:rPr>
            </w:pPr>
            <w:r w:rsidRPr="00641BD4">
              <w:rPr>
                <w:rFonts w:cs="Arial"/>
                <w:szCs w:val="20"/>
              </w:rPr>
              <w:t xml:space="preserve">Links and relevant information in </w:t>
            </w:r>
            <w:r w:rsidRPr="00641BD4">
              <w:rPr>
                <w:rFonts w:cs="Arial"/>
                <w:iCs/>
                <w:szCs w:val="20"/>
              </w:rPr>
              <w:t>Guiding Voices: A Curriculum Development Tool for Inclusion of First Nations, Métis and Inuit Perspectives Throughout Curriculum</w:t>
            </w:r>
            <w:r w:rsidRPr="00641BD4">
              <w:rPr>
                <w:rFonts w:cs="Arial"/>
                <w:szCs w:val="20"/>
              </w:rPr>
              <w:t xml:space="preserve"> and </w:t>
            </w:r>
            <w:r w:rsidRPr="00641BD4">
              <w:rPr>
                <w:rFonts w:cs="Arial"/>
                <w:iCs/>
                <w:szCs w:val="20"/>
              </w:rPr>
              <w:t>Walking Together: First Nations, Métis and Inuit Perspectives in Curriculum</w:t>
            </w:r>
            <w:r w:rsidRPr="00641BD4">
              <w:rPr>
                <w:rFonts w:cs="Arial"/>
                <w:szCs w:val="20"/>
              </w:rPr>
              <w:t xml:space="preserve"> are provided to support understandings of First Nations, Métis, or Inuit ways of knowing. Both online resources are accessed through LearnAlberta.ca.</w:t>
            </w:r>
          </w:p>
        </w:tc>
      </w:tr>
      <w:tr w:rsidR="002A4AFA" w14:paraId="33CD6174" w14:textId="77777777" w:rsidTr="0033704A">
        <w:trPr>
          <w:trHeight w:val="58"/>
        </w:trPr>
        <w:tc>
          <w:tcPr>
            <w:tcW w:w="10800" w:type="dxa"/>
            <w:shd w:val="clear" w:color="auto" w:fill="FF7900"/>
            <w:vAlign w:val="center"/>
          </w:tcPr>
          <w:p w14:paraId="1C98FA77" w14:textId="1140B9F8" w:rsidR="002A4AFA" w:rsidRPr="00BD3E71" w:rsidRDefault="00210685" w:rsidP="0003372C">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6D5DCF">
              <w:rPr>
                <w:rFonts w:ascii="Arial" w:hAnsi="Arial" w:cs="Arial"/>
                <w:color w:val="FFFFFF" w:themeColor="background1"/>
                <w:sz w:val="24"/>
              </w:rPr>
              <w:t xml:space="preserve"> </w:t>
            </w:r>
            <w:r w:rsidR="00E5300C">
              <w:rPr>
                <w:rFonts w:ascii="Arial" w:hAnsi="Arial" w:cs="Arial"/>
                <w:color w:val="FFFFFF" w:themeColor="background1"/>
                <w:sz w:val="24"/>
              </w:rPr>
              <w:t xml:space="preserve">Treaties; </w:t>
            </w:r>
            <w:r w:rsidR="00655086" w:rsidRPr="00463692">
              <w:rPr>
                <w:rFonts w:ascii="Arial" w:hAnsi="Arial" w:cs="Arial"/>
                <w:color w:val="FFFFFF" w:themeColor="background1"/>
                <w:sz w:val="24"/>
              </w:rPr>
              <w:t>Perspective</w:t>
            </w:r>
          </w:p>
        </w:tc>
      </w:tr>
      <w:tr w:rsidR="00BD3E71" w14:paraId="72C99288" w14:textId="77777777" w:rsidTr="0033704A">
        <w:trPr>
          <w:trHeight w:val="58"/>
        </w:trPr>
        <w:tc>
          <w:tcPr>
            <w:tcW w:w="10800" w:type="dxa"/>
            <w:shd w:val="clear" w:color="auto" w:fill="auto"/>
            <w:vAlign w:val="center"/>
          </w:tcPr>
          <w:p w14:paraId="46014291" w14:textId="77777777" w:rsidR="00BD3E71" w:rsidRPr="00502D46" w:rsidRDefault="00BD3E71" w:rsidP="00ED23A4">
            <w:pPr>
              <w:pStyle w:val="Title"/>
              <w:keepNext w:val="0"/>
              <w:keepLines w:val="0"/>
              <w:spacing w:before="60" w:after="60"/>
              <w:rPr>
                <w:rFonts w:cs="Arial"/>
                <w:b w:val="0"/>
                <w:color w:val="FF7900"/>
                <w:sz w:val="24"/>
                <w:szCs w:val="24"/>
              </w:rPr>
            </w:pPr>
            <w:r w:rsidRPr="00502D46">
              <w:rPr>
                <w:rFonts w:cs="Arial"/>
                <w:color w:val="FF7900"/>
                <w:sz w:val="24"/>
                <w:szCs w:val="24"/>
              </w:rPr>
              <w:t>Program of Studies Outcomes</w:t>
            </w:r>
          </w:p>
          <w:p w14:paraId="15350701" w14:textId="3083309D" w:rsidR="00BD3E71" w:rsidRPr="00502D46" w:rsidRDefault="0003372C" w:rsidP="00502D46">
            <w:pPr>
              <w:rPr>
                <w:rFonts w:ascii="Arial" w:hAnsi="Arial" w:cs="Arial"/>
                <w:b/>
                <w:sz w:val="20"/>
                <w:szCs w:val="20"/>
              </w:rPr>
            </w:pPr>
            <w:r w:rsidRPr="00502D46">
              <w:rPr>
                <w:rFonts w:ascii="Arial" w:hAnsi="Arial" w:cs="Arial"/>
                <w:b/>
                <w:sz w:val="20"/>
                <w:szCs w:val="20"/>
              </w:rPr>
              <w:t>9</w:t>
            </w:r>
            <w:r w:rsidR="00BD3E71" w:rsidRPr="00502D46">
              <w:rPr>
                <w:rFonts w:ascii="Arial" w:hAnsi="Arial" w:cs="Arial"/>
                <w:b/>
                <w:sz w:val="20"/>
                <w:szCs w:val="20"/>
              </w:rPr>
              <w:t xml:space="preserve">.1 </w:t>
            </w:r>
            <w:r w:rsidRPr="00502D46">
              <w:rPr>
                <w:rFonts w:ascii="Arial" w:hAnsi="Arial" w:cs="Arial"/>
                <w:b/>
                <w:sz w:val="20"/>
                <w:szCs w:val="20"/>
              </w:rPr>
              <w:t>Issues for Canadians: Governance and Rights</w:t>
            </w:r>
            <w:r w:rsidR="00BD3E71" w:rsidRPr="00502D46">
              <w:rPr>
                <w:rFonts w:ascii="Arial" w:hAnsi="Arial" w:cs="Arial"/>
                <w:b/>
                <w:sz w:val="20"/>
                <w:szCs w:val="20"/>
              </w:rPr>
              <w:t xml:space="preserve"> </w:t>
            </w:r>
          </w:p>
          <w:p w14:paraId="5F006513" w14:textId="4C15C67C" w:rsidR="00BD3E71" w:rsidRPr="00502D46" w:rsidRDefault="0003372C" w:rsidP="00502D46">
            <w:pPr>
              <w:pStyle w:val="BodyText1"/>
              <w:ind w:left="940" w:hanging="583"/>
              <w:rPr>
                <w:rFonts w:ascii="Arial" w:hAnsi="Arial" w:cs="Arial"/>
                <w:b/>
                <w:sz w:val="20"/>
                <w:szCs w:val="20"/>
              </w:rPr>
            </w:pPr>
            <w:r w:rsidRPr="00502D46">
              <w:rPr>
                <w:rFonts w:ascii="Arial" w:hAnsi="Arial" w:cs="Arial"/>
                <w:b/>
                <w:sz w:val="20"/>
                <w:szCs w:val="20"/>
              </w:rPr>
              <w:t>9.1.7</w:t>
            </w:r>
            <w:r w:rsidR="009B3116" w:rsidRPr="00502D46">
              <w:rPr>
                <w:rFonts w:ascii="Arial" w:hAnsi="Arial" w:cs="Arial"/>
                <w:b/>
                <w:sz w:val="20"/>
                <w:szCs w:val="20"/>
              </w:rPr>
              <w:tab/>
            </w:r>
            <w:r w:rsidRPr="00502D46">
              <w:rPr>
                <w:rFonts w:ascii="Arial" w:hAnsi="Arial" w:cs="Arial"/>
                <w:b/>
                <w:sz w:val="20"/>
                <w:szCs w:val="20"/>
              </w:rPr>
              <w:t>assess, critically, how the increased demand for recognition of collective rights has impacted the legislative process in Canada</w:t>
            </w:r>
            <w:r w:rsidR="00684581">
              <w:rPr>
                <w:rFonts w:ascii="Arial" w:hAnsi="Arial" w:cs="Arial"/>
                <w:b/>
                <w:sz w:val="20"/>
                <w:szCs w:val="20"/>
              </w:rPr>
              <w:t xml:space="preserve"> by exploring and reflecting upon the following questions and issues</w:t>
            </w:r>
            <w:r w:rsidR="00BD3E71" w:rsidRPr="00502D46">
              <w:rPr>
                <w:rFonts w:ascii="Arial" w:hAnsi="Arial" w:cs="Arial"/>
                <w:b/>
                <w:sz w:val="20"/>
                <w:szCs w:val="20"/>
              </w:rPr>
              <w:t>:</w:t>
            </w:r>
          </w:p>
          <w:p w14:paraId="7CEFB50C" w14:textId="22E0F079" w:rsidR="0003372C" w:rsidRPr="00502D46" w:rsidRDefault="0003372C" w:rsidP="00502D46">
            <w:pPr>
              <w:pStyle w:val="BodyText1"/>
              <w:numPr>
                <w:ilvl w:val="0"/>
                <w:numId w:val="10"/>
              </w:numPr>
              <w:rPr>
                <w:rFonts w:ascii="Arial" w:hAnsi="Arial" w:cs="Arial"/>
                <w:sz w:val="20"/>
                <w:szCs w:val="20"/>
              </w:rPr>
            </w:pPr>
            <w:r w:rsidRPr="00502D46">
              <w:rPr>
                <w:rFonts w:ascii="Arial" w:hAnsi="Arial" w:cs="Arial"/>
                <w:sz w:val="20"/>
                <w:szCs w:val="20"/>
              </w:rPr>
              <w:t xml:space="preserve">In what ways has the Canadian Charter of Rights and Freedoms fostered recognition of collective rights in Canada? </w:t>
            </w:r>
          </w:p>
          <w:p w14:paraId="67ADB039" w14:textId="599E6774" w:rsidR="00BD3E71" w:rsidRDefault="0003372C" w:rsidP="00120411">
            <w:pPr>
              <w:pStyle w:val="BodyText1"/>
              <w:numPr>
                <w:ilvl w:val="0"/>
                <w:numId w:val="10"/>
              </w:numPr>
              <w:rPr>
                <w:rFonts w:ascii="Arial" w:hAnsi="Arial" w:cs="Arial"/>
                <w:sz w:val="20"/>
                <w:szCs w:val="20"/>
              </w:rPr>
            </w:pPr>
            <w:r w:rsidRPr="00502D46">
              <w:rPr>
                <w:rFonts w:ascii="Arial" w:hAnsi="Arial" w:cs="Arial"/>
                <w:sz w:val="20"/>
                <w:szCs w:val="20"/>
              </w:rPr>
              <w:t>How does legislation such as Treaty 6, Treaty 7 and Treaty 8 recognize the status and identity of Aboriginal peoples?</w:t>
            </w:r>
          </w:p>
          <w:p w14:paraId="2CF3C57A" w14:textId="77777777" w:rsidR="00120411" w:rsidRPr="00502D46" w:rsidRDefault="00120411" w:rsidP="00120411">
            <w:pPr>
              <w:pStyle w:val="BodyText1"/>
              <w:ind w:left="1300"/>
              <w:rPr>
                <w:rFonts w:ascii="Arial" w:hAnsi="Arial" w:cs="Arial"/>
                <w:sz w:val="20"/>
                <w:szCs w:val="20"/>
              </w:rPr>
            </w:pPr>
          </w:p>
          <w:p w14:paraId="1AED99EF" w14:textId="5835EB06" w:rsidR="00BD3E71" w:rsidRPr="00502D46" w:rsidRDefault="00ED23A4" w:rsidP="00502D46">
            <w:pPr>
              <w:pStyle w:val="BodyText1"/>
              <w:rPr>
                <w:rFonts w:ascii="Arial" w:hAnsi="Arial" w:cs="Arial"/>
                <w:b/>
                <w:sz w:val="20"/>
                <w:szCs w:val="20"/>
              </w:rPr>
            </w:pPr>
            <w:r>
              <w:rPr>
                <w:rFonts w:ascii="Arial" w:hAnsi="Arial" w:cs="Arial"/>
                <w:b/>
                <w:sz w:val="20"/>
                <w:szCs w:val="20"/>
              </w:rPr>
              <w:t>Skills a</w:t>
            </w:r>
            <w:r w:rsidRPr="001C1399">
              <w:rPr>
                <w:rFonts w:ascii="Arial" w:hAnsi="Arial" w:cs="Arial"/>
                <w:b/>
                <w:sz w:val="20"/>
                <w:szCs w:val="20"/>
              </w:rPr>
              <w:t>nd Processes</w:t>
            </w:r>
          </w:p>
          <w:p w14:paraId="3D0AB0DD" w14:textId="3461A968" w:rsidR="00E5300C" w:rsidRPr="00502D46" w:rsidRDefault="00673EF4" w:rsidP="00502D46">
            <w:pPr>
              <w:pStyle w:val="BodyText1"/>
              <w:ind w:left="940" w:hanging="583"/>
              <w:rPr>
                <w:rFonts w:ascii="Arial" w:hAnsi="Arial" w:cs="Arial"/>
                <w:b/>
                <w:sz w:val="20"/>
                <w:szCs w:val="20"/>
              </w:rPr>
            </w:pPr>
            <w:r w:rsidRPr="00502D46">
              <w:rPr>
                <w:rFonts w:ascii="Arial" w:hAnsi="Arial" w:cs="Arial"/>
                <w:b/>
                <w:sz w:val="20"/>
                <w:szCs w:val="20"/>
              </w:rPr>
              <w:t>9.S.1 d</w:t>
            </w:r>
            <w:r w:rsidR="00E5300C" w:rsidRPr="00502D46">
              <w:rPr>
                <w:rFonts w:ascii="Arial" w:hAnsi="Arial" w:cs="Arial"/>
                <w:b/>
                <w:sz w:val="20"/>
                <w:szCs w:val="20"/>
              </w:rPr>
              <w:t xml:space="preserve">evelop skills of critical </w:t>
            </w:r>
            <w:r w:rsidR="00B2335C">
              <w:rPr>
                <w:rFonts w:ascii="Arial" w:hAnsi="Arial" w:cs="Arial"/>
                <w:b/>
                <w:sz w:val="20"/>
                <w:szCs w:val="20"/>
              </w:rPr>
              <w:t xml:space="preserve">thinking </w:t>
            </w:r>
            <w:r w:rsidR="00E5300C" w:rsidRPr="00502D46">
              <w:rPr>
                <w:rFonts w:ascii="Arial" w:hAnsi="Arial" w:cs="Arial"/>
                <w:b/>
                <w:sz w:val="20"/>
                <w:szCs w:val="20"/>
              </w:rPr>
              <w:t>and creative thinking</w:t>
            </w:r>
            <w:r w:rsidRPr="00502D46">
              <w:rPr>
                <w:rFonts w:ascii="Arial" w:hAnsi="Arial" w:cs="Arial"/>
                <w:b/>
                <w:sz w:val="20"/>
                <w:szCs w:val="20"/>
              </w:rPr>
              <w:t>:</w:t>
            </w:r>
          </w:p>
          <w:p w14:paraId="5E2FD11F" w14:textId="77777777" w:rsidR="00E5300C" w:rsidRPr="00502D46" w:rsidRDefault="00E5300C" w:rsidP="00502D46">
            <w:pPr>
              <w:pStyle w:val="BodyText1"/>
              <w:numPr>
                <w:ilvl w:val="0"/>
                <w:numId w:val="10"/>
              </w:numPr>
              <w:rPr>
                <w:rFonts w:ascii="Arial" w:hAnsi="Arial" w:cs="Arial"/>
                <w:sz w:val="20"/>
                <w:szCs w:val="20"/>
                <w:lang w:val="en-CA"/>
              </w:rPr>
            </w:pPr>
            <w:r w:rsidRPr="00502D46">
              <w:rPr>
                <w:rFonts w:ascii="Arial" w:hAnsi="Arial" w:cs="Arial"/>
                <w:sz w:val="20"/>
                <w:szCs w:val="20"/>
              </w:rPr>
              <w:t>re</w:t>
            </w:r>
            <w:r w:rsidRPr="00502D46">
              <w:rPr>
                <w:rFonts w:ascii="Arial" w:hAnsi="Arial" w:cs="Arial"/>
                <w:sz w:val="20"/>
                <w:szCs w:val="20"/>
                <w:lang w:val="en-CA"/>
              </w:rPr>
              <w:t>-evaluate personal opinions to broaden understanding of a topic or an issue</w:t>
            </w:r>
          </w:p>
          <w:p w14:paraId="6B766CFF" w14:textId="0A511FAF" w:rsidR="00E5300C" w:rsidRPr="00502D46" w:rsidRDefault="00E5300C" w:rsidP="00502D46">
            <w:pPr>
              <w:pStyle w:val="BodyText1"/>
              <w:ind w:left="940" w:hanging="583"/>
              <w:rPr>
                <w:rFonts w:ascii="Arial" w:hAnsi="Arial" w:cs="Arial"/>
                <w:b/>
                <w:sz w:val="20"/>
                <w:szCs w:val="20"/>
              </w:rPr>
            </w:pPr>
            <w:r w:rsidRPr="00502D46">
              <w:rPr>
                <w:rFonts w:ascii="Arial" w:hAnsi="Arial" w:cs="Arial"/>
                <w:b/>
                <w:sz w:val="20"/>
                <w:szCs w:val="20"/>
              </w:rPr>
              <w:t>9.</w:t>
            </w:r>
            <w:r w:rsidR="00673EF4" w:rsidRPr="00502D46">
              <w:rPr>
                <w:rFonts w:ascii="Arial" w:hAnsi="Arial" w:cs="Arial"/>
                <w:b/>
                <w:sz w:val="20"/>
                <w:szCs w:val="20"/>
              </w:rPr>
              <w:t>S.2 d</w:t>
            </w:r>
            <w:r w:rsidRPr="00502D46">
              <w:rPr>
                <w:rFonts w:ascii="Arial" w:hAnsi="Arial" w:cs="Arial"/>
                <w:b/>
                <w:sz w:val="20"/>
                <w:szCs w:val="20"/>
              </w:rPr>
              <w:t>evelop skills of historical thinking</w:t>
            </w:r>
            <w:r w:rsidR="00673EF4" w:rsidRPr="00502D46">
              <w:rPr>
                <w:rFonts w:ascii="Arial" w:hAnsi="Arial" w:cs="Arial"/>
                <w:b/>
                <w:sz w:val="20"/>
                <w:szCs w:val="20"/>
              </w:rPr>
              <w:t>:</w:t>
            </w:r>
          </w:p>
          <w:p w14:paraId="39407191" w14:textId="77777777" w:rsidR="00E5300C" w:rsidRPr="00502D46" w:rsidRDefault="00E5300C" w:rsidP="00DF3EB7">
            <w:pPr>
              <w:pStyle w:val="BodyText1"/>
              <w:numPr>
                <w:ilvl w:val="0"/>
                <w:numId w:val="10"/>
              </w:numPr>
              <w:rPr>
                <w:rFonts w:ascii="Arial" w:hAnsi="Arial" w:cs="Arial"/>
                <w:sz w:val="20"/>
                <w:szCs w:val="20"/>
                <w:lang w:val="en-CA"/>
              </w:rPr>
            </w:pPr>
            <w:r w:rsidRPr="00502D46">
              <w:rPr>
                <w:rFonts w:ascii="Arial" w:hAnsi="Arial" w:cs="Arial"/>
                <w:sz w:val="20"/>
                <w:szCs w:val="20"/>
                <w:lang w:val="en-CA"/>
              </w:rPr>
              <w:t>analyze selected issues and problems from the past, placing people and events in a context of time and place</w:t>
            </w:r>
          </w:p>
          <w:p w14:paraId="7851961F" w14:textId="01C37C3E"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distinguish cause, effect, sequence and correlation in historical events, including the long</w:t>
            </w:r>
            <w:r w:rsidR="00B2335C">
              <w:rPr>
                <w:rFonts w:ascii="Arial" w:hAnsi="Arial" w:cs="Arial"/>
                <w:sz w:val="20"/>
                <w:szCs w:val="20"/>
              </w:rPr>
              <w:t>-</w:t>
            </w:r>
            <w:r w:rsidRPr="00502D46">
              <w:rPr>
                <w:rFonts w:ascii="Arial" w:hAnsi="Arial" w:cs="Arial"/>
                <w:sz w:val="20"/>
                <w:szCs w:val="20"/>
              </w:rPr>
              <w:t xml:space="preserve"> and short-term causal relations</w:t>
            </w:r>
          </w:p>
          <w:p w14:paraId="6CF92A48" w14:textId="7CA8AD61" w:rsidR="00E5300C" w:rsidRPr="00502D46" w:rsidRDefault="00E5300C" w:rsidP="00502D46">
            <w:pPr>
              <w:pStyle w:val="BodyText1"/>
              <w:ind w:left="940" w:hanging="583"/>
              <w:rPr>
                <w:rFonts w:ascii="Arial" w:hAnsi="Arial" w:cs="Arial"/>
                <w:b/>
                <w:sz w:val="20"/>
                <w:szCs w:val="20"/>
              </w:rPr>
            </w:pPr>
            <w:r w:rsidRPr="00502D46">
              <w:rPr>
                <w:rFonts w:ascii="Arial" w:hAnsi="Arial" w:cs="Arial"/>
                <w:b/>
                <w:sz w:val="20"/>
                <w:szCs w:val="20"/>
              </w:rPr>
              <w:t xml:space="preserve">9.S.5 </w:t>
            </w:r>
            <w:r w:rsidR="00673EF4" w:rsidRPr="00502D46">
              <w:rPr>
                <w:rFonts w:ascii="Arial" w:hAnsi="Arial" w:cs="Arial"/>
                <w:b/>
                <w:sz w:val="20"/>
                <w:szCs w:val="20"/>
              </w:rPr>
              <w:t>d</w:t>
            </w:r>
            <w:r w:rsidRPr="00502D46">
              <w:rPr>
                <w:rFonts w:ascii="Arial" w:hAnsi="Arial" w:cs="Arial"/>
                <w:b/>
                <w:sz w:val="20"/>
                <w:szCs w:val="20"/>
              </w:rPr>
              <w:t>emonstrate skills of cooperation, conflict resolution and consensus building</w:t>
            </w:r>
            <w:r w:rsidR="00673EF4" w:rsidRPr="00502D46">
              <w:rPr>
                <w:rFonts w:ascii="Arial" w:hAnsi="Arial" w:cs="Arial"/>
                <w:b/>
                <w:sz w:val="20"/>
                <w:szCs w:val="20"/>
              </w:rPr>
              <w:t>:</w:t>
            </w:r>
          </w:p>
          <w:p w14:paraId="2DD7F249" w14:textId="77777777" w:rsidR="00E5300C" w:rsidRPr="00502D46" w:rsidRDefault="00E5300C" w:rsidP="00502D46">
            <w:pPr>
              <w:pStyle w:val="BodyText1"/>
              <w:numPr>
                <w:ilvl w:val="0"/>
                <w:numId w:val="10"/>
              </w:numPr>
              <w:rPr>
                <w:rFonts w:ascii="Arial" w:hAnsi="Arial" w:cs="Arial"/>
                <w:b/>
                <w:sz w:val="20"/>
                <w:szCs w:val="20"/>
              </w:rPr>
            </w:pPr>
            <w:r w:rsidRPr="00502D46">
              <w:rPr>
                <w:rFonts w:ascii="Arial" w:hAnsi="Arial" w:cs="Arial"/>
                <w:sz w:val="20"/>
                <w:szCs w:val="20"/>
              </w:rPr>
              <w:t>demonstrate leadership in groups, where appropriate, to achieve consensus and resolve conflicts peacefully and equitably</w:t>
            </w:r>
          </w:p>
          <w:p w14:paraId="5076A42C" w14:textId="77777777" w:rsidR="00E5300C" w:rsidRPr="00502D46" w:rsidRDefault="00E5300C" w:rsidP="00502D46">
            <w:pPr>
              <w:pStyle w:val="BodyText1"/>
              <w:numPr>
                <w:ilvl w:val="0"/>
                <w:numId w:val="10"/>
              </w:numPr>
              <w:rPr>
                <w:rFonts w:ascii="Arial" w:hAnsi="Arial" w:cs="Arial"/>
                <w:b/>
                <w:sz w:val="20"/>
                <w:szCs w:val="20"/>
              </w:rPr>
            </w:pPr>
            <w:r w:rsidRPr="00502D46">
              <w:rPr>
                <w:rFonts w:ascii="Arial" w:hAnsi="Arial" w:cs="Arial"/>
                <w:sz w:val="20"/>
                <w:szCs w:val="20"/>
              </w:rPr>
              <w:t>demonstrate a positive attitude regarding the needs and perspectives of others</w:t>
            </w:r>
          </w:p>
          <w:p w14:paraId="72851B06" w14:textId="77777777" w:rsidR="00E5300C" w:rsidRPr="00502D46" w:rsidRDefault="00E5300C" w:rsidP="00502D46">
            <w:pPr>
              <w:pStyle w:val="BodyText1"/>
              <w:numPr>
                <w:ilvl w:val="0"/>
                <w:numId w:val="10"/>
              </w:numPr>
              <w:rPr>
                <w:rFonts w:ascii="Arial" w:hAnsi="Arial" w:cs="Arial"/>
                <w:b/>
                <w:sz w:val="20"/>
                <w:szCs w:val="20"/>
              </w:rPr>
            </w:pPr>
            <w:r w:rsidRPr="00502D46">
              <w:rPr>
                <w:rFonts w:ascii="Arial" w:hAnsi="Arial" w:cs="Arial"/>
                <w:sz w:val="20"/>
                <w:szCs w:val="20"/>
              </w:rPr>
              <w:t>use networks to brainstorm, plan and share ideas with group members</w:t>
            </w:r>
          </w:p>
          <w:p w14:paraId="776ABCB9" w14:textId="43B2F96B" w:rsidR="00E5300C" w:rsidRPr="00502D46" w:rsidRDefault="00E5300C" w:rsidP="00502D46">
            <w:pPr>
              <w:pStyle w:val="BodyText1"/>
              <w:ind w:left="940" w:hanging="583"/>
              <w:rPr>
                <w:rFonts w:ascii="Arial" w:hAnsi="Arial" w:cs="Arial"/>
                <w:b/>
                <w:sz w:val="20"/>
                <w:szCs w:val="20"/>
              </w:rPr>
            </w:pPr>
            <w:r w:rsidRPr="00502D46">
              <w:rPr>
                <w:rFonts w:ascii="Arial" w:hAnsi="Arial" w:cs="Arial"/>
                <w:b/>
                <w:sz w:val="20"/>
                <w:szCs w:val="20"/>
              </w:rPr>
              <w:t>9.</w:t>
            </w:r>
            <w:r w:rsidR="00673EF4" w:rsidRPr="00502D46">
              <w:rPr>
                <w:rFonts w:ascii="Arial" w:hAnsi="Arial" w:cs="Arial"/>
                <w:b/>
                <w:sz w:val="20"/>
                <w:szCs w:val="20"/>
              </w:rPr>
              <w:t>S.7 a</w:t>
            </w:r>
            <w:r w:rsidRPr="00502D46">
              <w:rPr>
                <w:rFonts w:ascii="Arial" w:hAnsi="Arial" w:cs="Arial"/>
                <w:b/>
                <w:sz w:val="20"/>
                <w:szCs w:val="20"/>
              </w:rPr>
              <w:t>pply the research process</w:t>
            </w:r>
            <w:r w:rsidR="00673EF4" w:rsidRPr="00502D46">
              <w:rPr>
                <w:rFonts w:ascii="Arial" w:hAnsi="Arial" w:cs="Arial"/>
                <w:b/>
                <w:sz w:val="20"/>
                <w:szCs w:val="20"/>
              </w:rPr>
              <w:t>:</w:t>
            </w:r>
          </w:p>
          <w:p w14:paraId="54D6F5AC" w14:textId="77777777"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reflect on changes of perspective or opinion based on information gathered and research conducted</w:t>
            </w:r>
          </w:p>
          <w:p w14:paraId="559BBA0C" w14:textId="77777777"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integrate and synthesize concepts to provide an informed point of view on a research question or an issue</w:t>
            </w:r>
          </w:p>
          <w:p w14:paraId="523D5425" w14:textId="77777777"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draw conclusions based upon research and evidence</w:t>
            </w:r>
          </w:p>
          <w:p w14:paraId="5B445CA2" w14:textId="145B5D81" w:rsidR="00E5300C" w:rsidRPr="00502D46" w:rsidRDefault="00E5300C" w:rsidP="00502D46">
            <w:pPr>
              <w:pStyle w:val="BodyText1"/>
              <w:numPr>
                <w:ilvl w:val="0"/>
                <w:numId w:val="10"/>
              </w:numPr>
              <w:rPr>
                <w:rFonts w:ascii="Arial" w:hAnsi="Arial" w:cs="Arial"/>
                <w:sz w:val="20"/>
                <w:szCs w:val="20"/>
                <w:lang w:val="en-CA"/>
              </w:rPr>
            </w:pPr>
            <w:r w:rsidRPr="00502D46">
              <w:rPr>
                <w:rFonts w:ascii="Arial" w:hAnsi="Arial" w:cs="Arial"/>
                <w:sz w:val="20"/>
                <w:szCs w:val="20"/>
              </w:rPr>
              <w:t>organize</w:t>
            </w:r>
            <w:r w:rsidRPr="00502D46">
              <w:rPr>
                <w:rFonts w:ascii="Arial" w:hAnsi="Arial" w:cs="Arial"/>
                <w:sz w:val="20"/>
                <w:szCs w:val="20"/>
                <w:lang w:val="en-CA"/>
              </w:rPr>
              <w:t xml:space="preserve"> and synthesize researched information</w:t>
            </w:r>
          </w:p>
          <w:p w14:paraId="4CEB4CA4" w14:textId="75305BF3" w:rsidR="00BD3E71" w:rsidRPr="00502D46" w:rsidRDefault="0003372C" w:rsidP="00502D46">
            <w:pPr>
              <w:pStyle w:val="BodyText1"/>
              <w:ind w:left="940" w:hanging="583"/>
              <w:rPr>
                <w:rFonts w:ascii="Arial" w:hAnsi="Arial" w:cs="Arial"/>
                <w:b/>
                <w:sz w:val="20"/>
                <w:szCs w:val="20"/>
              </w:rPr>
            </w:pPr>
            <w:r w:rsidRPr="00502D46">
              <w:rPr>
                <w:rFonts w:ascii="Arial" w:hAnsi="Arial" w:cs="Arial"/>
                <w:b/>
                <w:sz w:val="20"/>
                <w:szCs w:val="20"/>
              </w:rPr>
              <w:t>9</w:t>
            </w:r>
            <w:r w:rsidR="00BD3E71" w:rsidRPr="00502D46">
              <w:rPr>
                <w:rFonts w:ascii="Arial" w:hAnsi="Arial" w:cs="Arial"/>
                <w:b/>
                <w:sz w:val="20"/>
                <w:szCs w:val="20"/>
              </w:rPr>
              <w:t>.S.8 demonstrate skills of oral, written and visual literacy:</w:t>
            </w:r>
          </w:p>
          <w:p w14:paraId="0143BA78" w14:textId="77777777" w:rsidR="00E5300C" w:rsidRPr="00502D46" w:rsidRDefault="00E5300C" w:rsidP="00DF3EB7">
            <w:pPr>
              <w:pStyle w:val="BodyText1"/>
              <w:numPr>
                <w:ilvl w:val="0"/>
                <w:numId w:val="10"/>
              </w:numPr>
              <w:rPr>
                <w:rFonts w:ascii="Arial" w:hAnsi="Arial" w:cs="Arial"/>
                <w:sz w:val="20"/>
                <w:szCs w:val="20"/>
              </w:rPr>
            </w:pPr>
            <w:r w:rsidRPr="00502D46">
              <w:rPr>
                <w:rFonts w:ascii="Arial" w:hAnsi="Arial" w:cs="Arial"/>
                <w:sz w:val="20"/>
                <w:szCs w:val="20"/>
              </w:rPr>
              <w:t>elicit, clarify and respond appropriately to questions, ideas and diverse points of view presented in discussions</w:t>
            </w:r>
          </w:p>
          <w:p w14:paraId="1E552FFD" w14:textId="77777777"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make reasoned comments relating to the topic of discussion</w:t>
            </w:r>
          </w:p>
          <w:p w14:paraId="451EBEB3" w14:textId="77777777" w:rsidR="00E5300C" w:rsidRPr="00502D46" w:rsidRDefault="00E5300C" w:rsidP="00502D46">
            <w:pPr>
              <w:pStyle w:val="BodyText1"/>
              <w:numPr>
                <w:ilvl w:val="0"/>
                <w:numId w:val="10"/>
              </w:numPr>
              <w:rPr>
                <w:rFonts w:ascii="Arial" w:hAnsi="Arial" w:cs="Arial"/>
                <w:sz w:val="20"/>
                <w:szCs w:val="20"/>
              </w:rPr>
            </w:pPr>
            <w:r w:rsidRPr="00502D46">
              <w:rPr>
                <w:rFonts w:ascii="Arial" w:hAnsi="Arial" w:cs="Arial"/>
                <w:sz w:val="20"/>
                <w:szCs w:val="20"/>
              </w:rPr>
              <w:t>listen to others to understand their perspectives</w:t>
            </w:r>
          </w:p>
          <w:p w14:paraId="7CA21941" w14:textId="77777777" w:rsidR="00B76650" w:rsidRPr="00502D46" w:rsidRDefault="00B76650" w:rsidP="000E0697">
            <w:pPr>
              <w:spacing w:before="160" w:after="60"/>
              <w:rPr>
                <w:rFonts w:ascii="Arial" w:hAnsi="Arial" w:cs="Arial"/>
                <w:b/>
                <w:color w:val="FF7900"/>
                <w:sz w:val="24"/>
              </w:rPr>
            </w:pPr>
            <w:r w:rsidRPr="00502D46">
              <w:rPr>
                <w:rFonts w:ascii="Arial" w:hAnsi="Arial" w:cs="Arial"/>
                <w:b/>
                <w:color w:val="FF7900"/>
                <w:sz w:val="24"/>
              </w:rPr>
              <w:t>Resource</w:t>
            </w:r>
            <w:r w:rsidRPr="00502D46">
              <w:rPr>
                <w:rStyle w:val="EndnoteReference"/>
                <w:rFonts w:ascii="Arial" w:hAnsi="Arial" w:cs="Arial"/>
                <w:b/>
                <w:color w:val="FF7900"/>
              </w:rPr>
              <w:endnoteReference w:id="1"/>
            </w:r>
          </w:p>
          <w:p w14:paraId="3778D398" w14:textId="7C6825DA" w:rsidR="00673EF4" w:rsidRPr="00BA4F8D" w:rsidRDefault="00673EF4" w:rsidP="00502D46">
            <w:pPr>
              <w:ind w:left="720" w:hanging="720"/>
              <w:rPr>
                <w:rStyle w:val="tgc"/>
                <w:rFonts w:ascii="Arial" w:hAnsi="Arial" w:cs="Arial"/>
                <w:color w:val="222222"/>
                <w:sz w:val="20"/>
                <w:szCs w:val="20"/>
              </w:rPr>
            </w:pPr>
            <w:r w:rsidRPr="00BA4F8D">
              <w:rPr>
                <w:rStyle w:val="tgc"/>
                <w:rFonts w:ascii="Arial" w:hAnsi="Arial" w:cs="Arial"/>
                <w:color w:val="222222"/>
                <w:sz w:val="20"/>
                <w:szCs w:val="20"/>
              </w:rPr>
              <w:t xml:space="preserve">Blanchfield, Mike. </w:t>
            </w:r>
            <w:r w:rsidRPr="00ED3CAE">
              <w:rPr>
                <w:rFonts w:ascii="Arial" w:hAnsi="Arial" w:cs="Arial"/>
                <w:i/>
                <w:color w:val="222222"/>
                <w:sz w:val="20"/>
                <w:szCs w:val="20"/>
                <w:lang w:val="en"/>
              </w:rPr>
              <w:t xml:space="preserve">Canada’s top court extends rights to nearly 600,000 Métis, </w:t>
            </w:r>
            <w:r w:rsidR="00CA5374" w:rsidRPr="00ED3CAE">
              <w:rPr>
                <w:rFonts w:ascii="Arial" w:hAnsi="Arial" w:cs="Arial"/>
                <w:i/>
                <w:color w:val="222222"/>
                <w:sz w:val="20"/>
                <w:szCs w:val="20"/>
                <w:lang w:val="en"/>
              </w:rPr>
              <w:t>Non-Status</w:t>
            </w:r>
            <w:r w:rsidRPr="00ED3CAE">
              <w:rPr>
                <w:rFonts w:ascii="Arial" w:hAnsi="Arial" w:cs="Arial"/>
                <w:i/>
                <w:color w:val="222222"/>
                <w:sz w:val="20"/>
                <w:szCs w:val="20"/>
                <w:lang w:val="en"/>
              </w:rPr>
              <w:t xml:space="preserve"> Indians</w:t>
            </w:r>
            <w:r w:rsidRPr="00BA4F8D">
              <w:rPr>
                <w:rStyle w:val="tgc"/>
                <w:rFonts w:ascii="Arial" w:hAnsi="Arial" w:cs="Arial"/>
                <w:color w:val="222222"/>
                <w:sz w:val="20"/>
                <w:szCs w:val="20"/>
              </w:rPr>
              <w:t>. Global News</w:t>
            </w:r>
            <w:r w:rsidR="00ED3CAE">
              <w:rPr>
                <w:rStyle w:val="tgc"/>
                <w:rFonts w:ascii="Arial" w:hAnsi="Arial" w:cs="Arial"/>
                <w:color w:val="222222"/>
                <w:sz w:val="20"/>
                <w:szCs w:val="20"/>
              </w:rPr>
              <w:t>, April 14, 2016</w:t>
            </w:r>
            <w:r w:rsidRPr="00BA4F8D">
              <w:rPr>
                <w:rStyle w:val="tgc"/>
                <w:rFonts w:ascii="Arial" w:hAnsi="Arial" w:cs="Arial"/>
                <w:color w:val="222222"/>
                <w:sz w:val="20"/>
                <w:szCs w:val="20"/>
              </w:rPr>
              <w:t xml:space="preserve">. </w:t>
            </w:r>
            <w:r w:rsidR="00BA4F8D" w:rsidRPr="00BA4F8D">
              <w:rPr>
                <w:rStyle w:val="tgc"/>
                <w:rFonts w:ascii="Arial" w:hAnsi="Arial" w:cs="Arial"/>
                <w:color w:val="222222"/>
                <w:sz w:val="20"/>
                <w:szCs w:val="20"/>
              </w:rPr>
              <w:t>(</w:t>
            </w:r>
            <w:hyperlink r:id="rId7" w:history="1">
              <w:r w:rsidRPr="00BA4F8D">
                <w:rPr>
                  <w:rStyle w:val="Hyperlink"/>
                  <w:rFonts w:ascii="Arial" w:hAnsi="Arial" w:cs="Arial"/>
                  <w:sz w:val="20"/>
                  <w:szCs w:val="20"/>
                </w:rPr>
                <w:t>globalnews.ca/news/2637867/supreme-court-ruling-on-rights-of-metis-off-reserve-indians-to-affect-provinces-municipalities/</w:t>
              </w:r>
            </w:hyperlink>
            <w:r w:rsidR="00BA4F8D" w:rsidRPr="00BA4F8D">
              <w:rPr>
                <w:rStyle w:val="tgc"/>
                <w:rFonts w:ascii="Arial" w:hAnsi="Arial" w:cs="Arial"/>
                <w:color w:val="222222"/>
                <w:sz w:val="20"/>
                <w:szCs w:val="20"/>
              </w:rPr>
              <w:t>)</w:t>
            </w:r>
          </w:p>
          <w:p w14:paraId="7AB179E5" w14:textId="18B67F4A" w:rsidR="00673EF4" w:rsidRPr="00BA4F8D" w:rsidRDefault="00673EF4" w:rsidP="00D805D9">
            <w:pPr>
              <w:spacing w:before="60" w:after="120"/>
              <w:ind w:left="720"/>
              <w:rPr>
                <w:rStyle w:val="tgc"/>
                <w:rFonts w:ascii="Arial" w:hAnsi="Arial" w:cs="Arial"/>
                <w:color w:val="222222"/>
                <w:sz w:val="20"/>
                <w:szCs w:val="20"/>
              </w:rPr>
            </w:pPr>
            <w:r w:rsidRPr="00BA4F8D">
              <w:rPr>
                <w:rStyle w:val="tgc"/>
                <w:rFonts w:ascii="Arial" w:hAnsi="Arial" w:cs="Arial"/>
                <w:b/>
                <w:color w:val="222222"/>
                <w:sz w:val="20"/>
                <w:szCs w:val="20"/>
              </w:rPr>
              <w:lastRenderedPageBreak/>
              <w:t>Summary:</w:t>
            </w:r>
            <w:r w:rsidRPr="00BA4F8D">
              <w:rPr>
                <w:rStyle w:val="tgc"/>
                <w:rFonts w:ascii="Arial" w:hAnsi="Arial" w:cs="Arial"/>
                <w:color w:val="222222"/>
                <w:sz w:val="20"/>
                <w:szCs w:val="20"/>
              </w:rPr>
              <w:t xml:space="preserve"> This is a text article and </w:t>
            </w:r>
            <w:r w:rsidR="004D3BCC">
              <w:rPr>
                <w:rStyle w:val="tgc"/>
                <w:rFonts w:ascii="Arial" w:hAnsi="Arial" w:cs="Arial"/>
                <w:color w:val="222222"/>
                <w:sz w:val="20"/>
                <w:szCs w:val="20"/>
              </w:rPr>
              <w:t xml:space="preserve">a </w:t>
            </w:r>
            <w:r w:rsidRPr="00BA4F8D">
              <w:rPr>
                <w:rStyle w:val="tgc"/>
                <w:rFonts w:ascii="Arial" w:hAnsi="Arial" w:cs="Arial"/>
                <w:color w:val="222222"/>
                <w:sz w:val="20"/>
                <w:szCs w:val="20"/>
              </w:rPr>
              <w:t xml:space="preserve">video that </w:t>
            </w:r>
            <w:r w:rsidR="00861EB1">
              <w:rPr>
                <w:rStyle w:val="tgc"/>
                <w:rFonts w:ascii="Arial" w:hAnsi="Arial" w:cs="Arial"/>
                <w:color w:val="222222"/>
                <w:sz w:val="20"/>
                <w:szCs w:val="20"/>
              </w:rPr>
              <w:t>describes</w:t>
            </w:r>
            <w:r w:rsidR="00861EB1" w:rsidRPr="00BA4F8D">
              <w:rPr>
                <w:rStyle w:val="tgc"/>
                <w:rFonts w:ascii="Arial" w:hAnsi="Arial" w:cs="Arial"/>
                <w:color w:val="222222"/>
                <w:sz w:val="20"/>
                <w:szCs w:val="20"/>
              </w:rPr>
              <w:t xml:space="preserve"> </w:t>
            </w:r>
            <w:r w:rsidRPr="00BA4F8D">
              <w:rPr>
                <w:rStyle w:val="tgc"/>
                <w:rFonts w:ascii="Arial" w:hAnsi="Arial" w:cs="Arial"/>
                <w:color w:val="222222"/>
                <w:sz w:val="20"/>
                <w:szCs w:val="20"/>
              </w:rPr>
              <w:t xml:space="preserve">the Supreme Court decision to extend rights to </w:t>
            </w:r>
            <w:r w:rsidRPr="00BA4F8D">
              <w:rPr>
                <w:rFonts w:ascii="Arial" w:hAnsi="Arial" w:cs="Arial"/>
                <w:sz w:val="20"/>
                <w:szCs w:val="20"/>
              </w:rPr>
              <w:t xml:space="preserve">Métis </w:t>
            </w:r>
            <w:r w:rsidRPr="00BA4F8D">
              <w:rPr>
                <w:rStyle w:val="tgc"/>
                <w:rFonts w:ascii="Arial" w:hAnsi="Arial" w:cs="Arial"/>
                <w:color w:val="222222"/>
                <w:sz w:val="20"/>
                <w:szCs w:val="20"/>
              </w:rPr>
              <w:t>an</w:t>
            </w:r>
            <w:r w:rsidR="00DF3EB7" w:rsidRPr="00BA4F8D">
              <w:rPr>
                <w:rStyle w:val="tgc"/>
                <w:rFonts w:ascii="Arial" w:hAnsi="Arial" w:cs="Arial"/>
                <w:color w:val="222222"/>
                <w:sz w:val="20"/>
                <w:szCs w:val="20"/>
              </w:rPr>
              <w:t xml:space="preserve">d </w:t>
            </w:r>
            <w:r w:rsidR="004D3BCC">
              <w:rPr>
                <w:rStyle w:val="tgc"/>
                <w:rFonts w:ascii="Arial" w:hAnsi="Arial" w:cs="Arial"/>
                <w:color w:val="222222"/>
                <w:sz w:val="20"/>
                <w:szCs w:val="20"/>
              </w:rPr>
              <w:t>n</w:t>
            </w:r>
            <w:r w:rsidR="00CA5374">
              <w:rPr>
                <w:rStyle w:val="tgc"/>
                <w:rFonts w:ascii="Arial" w:hAnsi="Arial" w:cs="Arial"/>
                <w:color w:val="222222"/>
                <w:sz w:val="20"/>
                <w:szCs w:val="20"/>
              </w:rPr>
              <w:t>on-</w:t>
            </w:r>
            <w:r w:rsidR="004D3BCC">
              <w:rPr>
                <w:rStyle w:val="tgc"/>
                <w:rFonts w:ascii="Arial" w:hAnsi="Arial" w:cs="Arial"/>
                <w:color w:val="222222"/>
                <w:sz w:val="20"/>
                <w:szCs w:val="20"/>
              </w:rPr>
              <w:t>s</w:t>
            </w:r>
            <w:r w:rsidR="00CA5374">
              <w:rPr>
                <w:rStyle w:val="tgc"/>
                <w:rFonts w:ascii="Arial" w:hAnsi="Arial" w:cs="Arial"/>
                <w:color w:val="222222"/>
                <w:sz w:val="20"/>
                <w:szCs w:val="20"/>
              </w:rPr>
              <w:t>tatus</w:t>
            </w:r>
            <w:r w:rsidR="00DF3EB7" w:rsidRPr="00BA4F8D">
              <w:rPr>
                <w:rStyle w:val="tgc"/>
                <w:rFonts w:ascii="Arial" w:hAnsi="Arial" w:cs="Arial"/>
                <w:color w:val="222222"/>
                <w:sz w:val="20"/>
                <w:szCs w:val="20"/>
              </w:rPr>
              <w:t xml:space="preserve"> Indians</w:t>
            </w:r>
            <w:r w:rsidR="001E779A">
              <w:rPr>
                <w:rStyle w:val="tgc"/>
                <w:rFonts w:ascii="Arial" w:hAnsi="Arial" w:cs="Arial"/>
                <w:color w:val="222222"/>
                <w:sz w:val="20"/>
                <w:szCs w:val="20"/>
              </w:rPr>
              <w:t>*</w:t>
            </w:r>
            <w:r w:rsidR="00DF3EB7" w:rsidRPr="00BA4F8D">
              <w:rPr>
                <w:rStyle w:val="tgc"/>
                <w:rFonts w:ascii="Arial" w:hAnsi="Arial" w:cs="Arial"/>
                <w:color w:val="222222"/>
                <w:sz w:val="20"/>
                <w:szCs w:val="20"/>
              </w:rPr>
              <w:t xml:space="preserve"> in Canada.</w:t>
            </w:r>
          </w:p>
          <w:p w14:paraId="7633F14B" w14:textId="2D3DD32B" w:rsidR="00E5300C" w:rsidRPr="00502D46" w:rsidRDefault="00E5300C" w:rsidP="000E0697">
            <w:pPr>
              <w:keepNext/>
              <w:keepLines/>
              <w:spacing w:after="60"/>
              <w:rPr>
                <w:rStyle w:val="tgc"/>
                <w:rFonts w:ascii="Arial" w:hAnsi="Arial" w:cs="Arial"/>
                <w:color w:val="FF7900"/>
                <w:sz w:val="20"/>
                <w:szCs w:val="20"/>
              </w:rPr>
            </w:pPr>
            <w:r w:rsidRPr="00502D46">
              <w:rPr>
                <w:rFonts w:ascii="Arial" w:hAnsi="Arial" w:cs="Arial"/>
                <w:b/>
                <w:color w:val="FF7900"/>
                <w:sz w:val="24"/>
              </w:rPr>
              <w:t>Purpose</w:t>
            </w:r>
          </w:p>
          <w:p w14:paraId="5DD51266" w14:textId="49137E39" w:rsidR="00E5300C" w:rsidRPr="00DF3EB7" w:rsidRDefault="00E5300C" w:rsidP="000E0697">
            <w:pPr>
              <w:pStyle w:val="Title2"/>
              <w:keepNext/>
              <w:keepLines/>
              <w:spacing w:after="0"/>
              <w:rPr>
                <w:rFonts w:cs="Arial"/>
                <w:b w:val="0"/>
                <w:sz w:val="20"/>
                <w:szCs w:val="20"/>
              </w:rPr>
            </w:pPr>
            <w:r w:rsidRPr="00502D46">
              <w:rPr>
                <w:rFonts w:cs="Arial"/>
                <w:b w:val="0"/>
                <w:sz w:val="20"/>
                <w:szCs w:val="20"/>
              </w:rPr>
              <w:t>In this lesson</w:t>
            </w:r>
            <w:r w:rsidR="004D3BCC">
              <w:rPr>
                <w:rFonts w:cs="Arial"/>
                <w:b w:val="0"/>
                <w:sz w:val="20"/>
                <w:szCs w:val="20"/>
              </w:rPr>
              <w:t>,</w:t>
            </w:r>
            <w:r w:rsidRPr="00502D46">
              <w:rPr>
                <w:rFonts w:cs="Arial"/>
                <w:b w:val="0"/>
                <w:sz w:val="20"/>
                <w:szCs w:val="20"/>
              </w:rPr>
              <w:t xml:space="preserve"> students will deepen their understanding of Métis and </w:t>
            </w:r>
            <w:r w:rsidR="004D3BCC">
              <w:rPr>
                <w:rFonts w:cs="Arial"/>
                <w:b w:val="0"/>
                <w:sz w:val="20"/>
                <w:szCs w:val="20"/>
              </w:rPr>
              <w:t>n</w:t>
            </w:r>
            <w:r w:rsidR="00CA5374">
              <w:rPr>
                <w:rFonts w:cs="Arial"/>
                <w:b w:val="0"/>
                <w:sz w:val="20"/>
                <w:szCs w:val="20"/>
              </w:rPr>
              <w:t>on-</w:t>
            </w:r>
            <w:r w:rsidR="004D3BCC">
              <w:rPr>
                <w:rFonts w:cs="Arial"/>
                <w:b w:val="0"/>
                <w:sz w:val="20"/>
                <w:szCs w:val="20"/>
              </w:rPr>
              <w:t>s</w:t>
            </w:r>
            <w:r w:rsidR="00CA5374">
              <w:rPr>
                <w:rFonts w:cs="Arial"/>
                <w:b w:val="0"/>
                <w:sz w:val="20"/>
                <w:szCs w:val="20"/>
              </w:rPr>
              <w:t>tatus</w:t>
            </w:r>
            <w:r w:rsidR="00502D46" w:rsidRPr="00502D46">
              <w:rPr>
                <w:rFonts w:cs="Arial"/>
                <w:b w:val="0"/>
                <w:sz w:val="20"/>
                <w:szCs w:val="20"/>
              </w:rPr>
              <w:t xml:space="preserve"> Indian</w:t>
            </w:r>
            <w:r w:rsidRPr="00502D46">
              <w:rPr>
                <w:rFonts w:cs="Arial"/>
                <w:b w:val="0"/>
                <w:sz w:val="20"/>
                <w:szCs w:val="20"/>
              </w:rPr>
              <w:t xml:space="preserve"> collective rights</w:t>
            </w:r>
            <w:r w:rsidR="00502D46" w:rsidRPr="00502D46">
              <w:rPr>
                <w:rFonts w:cs="Arial"/>
                <w:b w:val="0"/>
                <w:sz w:val="20"/>
                <w:szCs w:val="20"/>
              </w:rPr>
              <w:t xml:space="preserve"> as it pertains to status. They will explore the impact of achieving status on Métis and </w:t>
            </w:r>
            <w:r w:rsidR="004D3BCC">
              <w:rPr>
                <w:rFonts w:cs="Arial"/>
                <w:b w:val="0"/>
                <w:sz w:val="20"/>
                <w:szCs w:val="20"/>
              </w:rPr>
              <w:t>n</w:t>
            </w:r>
            <w:r w:rsidR="00CA5374">
              <w:rPr>
                <w:rFonts w:cs="Arial"/>
                <w:b w:val="0"/>
                <w:sz w:val="20"/>
                <w:szCs w:val="20"/>
              </w:rPr>
              <w:t>on-</w:t>
            </w:r>
            <w:r w:rsidR="004D3BCC">
              <w:rPr>
                <w:rFonts w:cs="Arial"/>
                <w:b w:val="0"/>
                <w:sz w:val="20"/>
                <w:szCs w:val="20"/>
              </w:rPr>
              <w:t>s</w:t>
            </w:r>
            <w:r w:rsidR="00CA5374">
              <w:rPr>
                <w:rFonts w:cs="Arial"/>
                <w:b w:val="0"/>
                <w:sz w:val="20"/>
                <w:szCs w:val="20"/>
              </w:rPr>
              <w:t>tatus</w:t>
            </w:r>
            <w:r w:rsidR="00502D46" w:rsidRPr="00502D46">
              <w:rPr>
                <w:rFonts w:cs="Arial"/>
                <w:b w:val="0"/>
                <w:sz w:val="20"/>
                <w:szCs w:val="20"/>
              </w:rPr>
              <w:t xml:space="preserve"> Indians and the evolving nature and restoring of relationship between the Canadian government and Métis</w:t>
            </w:r>
            <w:r w:rsidRPr="00502D46">
              <w:rPr>
                <w:rFonts w:cs="Arial"/>
                <w:b w:val="0"/>
                <w:sz w:val="20"/>
                <w:szCs w:val="20"/>
              </w:rPr>
              <w:t>.</w:t>
            </w:r>
            <w:r w:rsidR="00DF3EB7">
              <w:rPr>
                <w:rFonts w:cs="Arial"/>
                <w:b w:val="0"/>
                <w:sz w:val="20"/>
                <w:szCs w:val="20"/>
              </w:rPr>
              <w:t xml:space="preserve"> </w:t>
            </w:r>
            <w:r w:rsidRPr="00DF3EB7">
              <w:rPr>
                <w:rFonts w:cs="Arial"/>
                <w:b w:val="0"/>
                <w:sz w:val="20"/>
                <w:szCs w:val="20"/>
              </w:rPr>
              <w:t xml:space="preserve">Students will consider the role of the Supreme Court of Canada in recognizing and protecting collective and individual rights by assessing the extent to which the Court has successfully reconciled the collective and </w:t>
            </w:r>
            <w:r w:rsidR="00502D46" w:rsidRPr="00DF3EB7">
              <w:rPr>
                <w:rFonts w:cs="Arial"/>
                <w:b w:val="0"/>
                <w:sz w:val="20"/>
                <w:szCs w:val="20"/>
              </w:rPr>
              <w:t>status</w:t>
            </w:r>
            <w:r w:rsidRPr="00DF3EB7">
              <w:rPr>
                <w:rFonts w:cs="Arial"/>
                <w:b w:val="0"/>
                <w:sz w:val="20"/>
                <w:szCs w:val="20"/>
              </w:rPr>
              <w:t xml:space="preserve"> rights of </w:t>
            </w:r>
            <w:r w:rsidR="00502D46" w:rsidRPr="00502D46">
              <w:rPr>
                <w:rFonts w:cs="Arial"/>
                <w:b w:val="0"/>
                <w:sz w:val="20"/>
                <w:szCs w:val="20"/>
              </w:rPr>
              <w:t xml:space="preserve">Métis and </w:t>
            </w:r>
            <w:r w:rsidR="004D3BCC">
              <w:rPr>
                <w:rFonts w:cs="Arial"/>
                <w:b w:val="0"/>
                <w:sz w:val="20"/>
                <w:szCs w:val="20"/>
              </w:rPr>
              <w:t>n</w:t>
            </w:r>
            <w:r w:rsidR="00CA5374">
              <w:rPr>
                <w:rFonts w:cs="Arial"/>
                <w:b w:val="0"/>
                <w:sz w:val="20"/>
                <w:szCs w:val="20"/>
              </w:rPr>
              <w:t>on-</w:t>
            </w:r>
            <w:r w:rsidR="004D3BCC">
              <w:rPr>
                <w:rFonts w:cs="Arial"/>
                <w:b w:val="0"/>
                <w:sz w:val="20"/>
                <w:szCs w:val="20"/>
              </w:rPr>
              <w:t>s</w:t>
            </w:r>
            <w:r w:rsidR="00CA5374">
              <w:rPr>
                <w:rFonts w:cs="Arial"/>
                <w:b w:val="0"/>
                <w:sz w:val="20"/>
                <w:szCs w:val="20"/>
              </w:rPr>
              <w:t>tatus</w:t>
            </w:r>
            <w:r w:rsidR="00502D46" w:rsidRPr="00DF3EB7">
              <w:rPr>
                <w:rFonts w:cs="Arial"/>
                <w:b w:val="0"/>
                <w:sz w:val="20"/>
                <w:szCs w:val="20"/>
              </w:rPr>
              <w:t xml:space="preserve"> Indian</w:t>
            </w:r>
            <w:r w:rsidR="004D3BCC">
              <w:rPr>
                <w:rFonts w:cs="Arial"/>
                <w:b w:val="0"/>
                <w:sz w:val="20"/>
                <w:szCs w:val="20"/>
              </w:rPr>
              <w:t>s</w:t>
            </w:r>
            <w:r w:rsidR="00502D46" w:rsidRPr="00502D46">
              <w:rPr>
                <w:rFonts w:cs="Arial"/>
                <w:b w:val="0"/>
                <w:sz w:val="20"/>
                <w:szCs w:val="20"/>
              </w:rPr>
              <w:t xml:space="preserve"> </w:t>
            </w:r>
            <w:r w:rsidRPr="00DF3EB7">
              <w:rPr>
                <w:rFonts w:cs="Arial"/>
                <w:b w:val="0"/>
                <w:sz w:val="20"/>
                <w:szCs w:val="20"/>
              </w:rPr>
              <w:t>in Canada.</w:t>
            </w:r>
          </w:p>
          <w:p w14:paraId="62437828" w14:textId="77777777" w:rsidR="0033704A" w:rsidRPr="00ED23A4" w:rsidRDefault="0033704A" w:rsidP="00502D46">
            <w:pPr>
              <w:pStyle w:val="BodyText1"/>
              <w:pBdr>
                <w:bottom w:val="single" w:sz="6" w:space="1" w:color="auto"/>
              </w:pBdr>
              <w:rPr>
                <w:rFonts w:ascii="Arial" w:hAnsi="Arial" w:cs="Arial"/>
                <w:sz w:val="10"/>
                <w:szCs w:val="10"/>
              </w:rPr>
            </w:pPr>
          </w:p>
          <w:p w14:paraId="522FC159" w14:textId="179BF961" w:rsidR="00E5300C" w:rsidRPr="00502D46" w:rsidRDefault="00E5300C" w:rsidP="000E0697">
            <w:pPr>
              <w:spacing w:before="60" w:after="60"/>
              <w:rPr>
                <w:rFonts w:ascii="Arial" w:hAnsi="Arial" w:cs="Arial"/>
                <w:color w:val="FF7900"/>
                <w:sz w:val="20"/>
                <w:szCs w:val="20"/>
              </w:rPr>
            </w:pPr>
            <w:r w:rsidRPr="00502D46">
              <w:rPr>
                <w:rFonts w:ascii="Arial" w:hAnsi="Arial" w:cs="Arial"/>
                <w:b/>
                <w:color w:val="FF7900"/>
                <w:sz w:val="24"/>
              </w:rPr>
              <w:t>Introduction</w:t>
            </w:r>
          </w:p>
          <w:p w14:paraId="5766F817" w14:textId="24923B91" w:rsidR="003D739B" w:rsidRPr="00502D46" w:rsidRDefault="002550A2" w:rsidP="003D739B">
            <w:pPr>
              <w:pStyle w:val="Title2"/>
              <w:spacing w:after="0"/>
              <w:rPr>
                <w:rFonts w:cs="Arial"/>
                <w:b w:val="0"/>
                <w:sz w:val="20"/>
                <w:szCs w:val="20"/>
              </w:rPr>
            </w:pPr>
            <w:r>
              <w:rPr>
                <w:rFonts w:cs="Arial"/>
                <w:b w:val="0"/>
                <w:sz w:val="20"/>
                <w:szCs w:val="20"/>
              </w:rPr>
              <w:t>U</w:t>
            </w:r>
            <w:r w:rsidR="00E5300C" w:rsidRPr="00502D46">
              <w:rPr>
                <w:rFonts w:cs="Arial"/>
                <w:b w:val="0"/>
                <w:sz w:val="20"/>
                <w:szCs w:val="20"/>
              </w:rPr>
              <w:t>s</w:t>
            </w:r>
            <w:r>
              <w:rPr>
                <w:rFonts w:cs="Arial"/>
                <w:b w:val="0"/>
                <w:sz w:val="20"/>
                <w:szCs w:val="20"/>
              </w:rPr>
              <w:t>ing</w:t>
            </w:r>
            <w:r w:rsidR="00E5300C" w:rsidRPr="00502D46">
              <w:rPr>
                <w:rFonts w:cs="Arial"/>
                <w:b w:val="0"/>
                <w:sz w:val="20"/>
                <w:szCs w:val="20"/>
              </w:rPr>
              <w:t xml:space="preserve"> </w:t>
            </w:r>
            <w:r>
              <w:rPr>
                <w:rFonts w:cs="Arial"/>
                <w:b w:val="0"/>
                <w:sz w:val="20"/>
                <w:szCs w:val="20"/>
              </w:rPr>
              <w:t>a</w:t>
            </w:r>
            <w:r w:rsidRPr="00502D46">
              <w:rPr>
                <w:rFonts w:cs="Arial"/>
                <w:b w:val="0"/>
                <w:sz w:val="20"/>
                <w:szCs w:val="20"/>
              </w:rPr>
              <w:t xml:space="preserve"> </w:t>
            </w:r>
            <w:r w:rsidR="00E5300C" w:rsidRPr="00502D46">
              <w:rPr>
                <w:rFonts w:cs="Arial"/>
                <w:b w:val="0"/>
                <w:sz w:val="20"/>
                <w:szCs w:val="20"/>
              </w:rPr>
              <w:t>timed-pair-share strategy</w:t>
            </w:r>
            <w:r>
              <w:rPr>
                <w:rFonts w:cs="Arial"/>
                <w:b w:val="0"/>
                <w:sz w:val="20"/>
                <w:szCs w:val="20"/>
              </w:rPr>
              <w:t>, students will</w:t>
            </w:r>
            <w:r w:rsidR="00E5300C" w:rsidRPr="00502D46">
              <w:rPr>
                <w:rFonts w:cs="Arial"/>
                <w:b w:val="0"/>
                <w:sz w:val="20"/>
                <w:szCs w:val="20"/>
              </w:rPr>
              <w:t xml:space="preserve"> review and share what they understand about individual rights in the </w:t>
            </w:r>
            <w:r w:rsidR="00D447AB">
              <w:rPr>
                <w:rFonts w:cs="Arial"/>
                <w:b w:val="0"/>
                <w:sz w:val="20"/>
                <w:szCs w:val="20"/>
              </w:rPr>
              <w:t xml:space="preserve">Canadian </w:t>
            </w:r>
            <w:r w:rsidR="00E5300C" w:rsidRPr="00502D46">
              <w:rPr>
                <w:rFonts w:cs="Arial"/>
                <w:b w:val="0"/>
                <w:sz w:val="20"/>
                <w:szCs w:val="20"/>
              </w:rPr>
              <w:t>Charter</w:t>
            </w:r>
            <w:r w:rsidR="00D447AB">
              <w:rPr>
                <w:rFonts w:cs="Arial"/>
                <w:b w:val="0"/>
                <w:sz w:val="20"/>
                <w:szCs w:val="20"/>
              </w:rPr>
              <w:t xml:space="preserve"> of Rights and Freedoms</w:t>
            </w:r>
            <w:r w:rsidR="00E5300C" w:rsidRPr="00502D46">
              <w:rPr>
                <w:rFonts w:cs="Arial"/>
                <w:b w:val="0"/>
                <w:sz w:val="20"/>
                <w:szCs w:val="20"/>
              </w:rPr>
              <w:t xml:space="preserve">. </w:t>
            </w:r>
            <w:r w:rsidR="004D3BCC">
              <w:rPr>
                <w:rFonts w:cs="Arial"/>
                <w:b w:val="0"/>
                <w:sz w:val="20"/>
                <w:szCs w:val="20"/>
              </w:rPr>
              <w:t>Working with</w:t>
            </w:r>
            <w:r w:rsidR="004D3BCC" w:rsidRPr="00502D46">
              <w:rPr>
                <w:rFonts w:cs="Arial"/>
                <w:b w:val="0"/>
                <w:sz w:val="20"/>
                <w:szCs w:val="20"/>
              </w:rPr>
              <w:t xml:space="preserve"> </w:t>
            </w:r>
            <w:r w:rsidR="00E5300C" w:rsidRPr="00502D46">
              <w:rPr>
                <w:rFonts w:cs="Arial"/>
                <w:b w:val="0"/>
                <w:sz w:val="20"/>
                <w:szCs w:val="20"/>
              </w:rPr>
              <w:t>partners, students take turns sharing what they recall about individual rights from previous learning. Each partner receives the same amount of time to share, during which the other partner can only listen, not respond.</w:t>
            </w:r>
          </w:p>
          <w:p w14:paraId="714F0B6D" w14:textId="77777777" w:rsidR="00E5300C" w:rsidRPr="00502D46" w:rsidRDefault="00E5300C" w:rsidP="00ED23A4">
            <w:pPr>
              <w:spacing w:before="100" w:after="60"/>
              <w:rPr>
                <w:rFonts w:ascii="Arial" w:hAnsi="Arial" w:cs="Arial"/>
                <w:b/>
                <w:color w:val="FF7900"/>
                <w:sz w:val="24"/>
                <w:szCs w:val="24"/>
              </w:rPr>
            </w:pPr>
            <w:r w:rsidRPr="00502D46">
              <w:rPr>
                <w:rFonts w:ascii="Arial" w:hAnsi="Arial" w:cs="Arial"/>
                <w:b/>
                <w:color w:val="FF7900"/>
                <w:sz w:val="24"/>
              </w:rPr>
              <w:t>Activities</w:t>
            </w:r>
            <w:r w:rsidRPr="00502D46">
              <w:rPr>
                <w:rFonts w:ascii="Arial" w:hAnsi="Arial" w:cs="Arial"/>
                <w:b/>
                <w:color w:val="FF7900"/>
                <w:sz w:val="24"/>
                <w:szCs w:val="24"/>
              </w:rPr>
              <w:t>/Experiences</w:t>
            </w:r>
          </w:p>
          <w:p w14:paraId="283D25F2" w14:textId="615E3436" w:rsidR="00502D46" w:rsidRDefault="00E5300C" w:rsidP="004D3BCC">
            <w:pPr>
              <w:pStyle w:val="BodyText1"/>
              <w:rPr>
                <w:rFonts w:ascii="Arial" w:hAnsi="Arial" w:cs="Arial"/>
                <w:sz w:val="20"/>
                <w:szCs w:val="20"/>
              </w:rPr>
            </w:pPr>
            <w:r w:rsidRPr="00502D46">
              <w:rPr>
                <w:rFonts w:ascii="Arial" w:hAnsi="Arial" w:cs="Arial"/>
                <w:sz w:val="20"/>
                <w:szCs w:val="20"/>
              </w:rPr>
              <w:t xml:space="preserve">Students will refer to the </w:t>
            </w:r>
            <w:r w:rsidR="00DC734C">
              <w:rPr>
                <w:rFonts w:ascii="Arial" w:hAnsi="Arial" w:cs="Arial"/>
                <w:sz w:val="20"/>
                <w:szCs w:val="20"/>
              </w:rPr>
              <w:t xml:space="preserve">2016 </w:t>
            </w:r>
            <w:r w:rsidRPr="00502D46">
              <w:rPr>
                <w:rFonts w:ascii="Arial" w:hAnsi="Arial" w:cs="Arial"/>
                <w:sz w:val="20"/>
                <w:szCs w:val="20"/>
              </w:rPr>
              <w:t xml:space="preserve">Supreme Court decision </w:t>
            </w:r>
            <w:r w:rsidR="00502D46" w:rsidRPr="00502D46">
              <w:rPr>
                <w:rFonts w:ascii="Arial" w:hAnsi="Arial" w:cs="Arial"/>
                <w:sz w:val="20"/>
                <w:szCs w:val="20"/>
              </w:rPr>
              <w:t xml:space="preserve">on </w:t>
            </w:r>
            <w:r w:rsidR="00502D46">
              <w:rPr>
                <w:rFonts w:ascii="Arial" w:hAnsi="Arial" w:cs="Arial"/>
                <w:sz w:val="20"/>
                <w:szCs w:val="20"/>
              </w:rPr>
              <w:t xml:space="preserve">Métis and </w:t>
            </w:r>
            <w:r w:rsidR="004D3BCC">
              <w:rPr>
                <w:rFonts w:ascii="Arial" w:hAnsi="Arial" w:cs="Arial"/>
                <w:sz w:val="20"/>
                <w:szCs w:val="20"/>
              </w:rPr>
              <w:t>non-s</w:t>
            </w:r>
            <w:r w:rsidR="00CA5374">
              <w:rPr>
                <w:rFonts w:ascii="Arial" w:hAnsi="Arial" w:cs="Arial"/>
                <w:sz w:val="20"/>
                <w:szCs w:val="20"/>
              </w:rPr>
              <w:t>tatus</w:t>
            </w:r>
            <w:r w:rsidR="00502D46">
              <w:rPr>
                <w:rFonts w:ascii="Arial" w:hAnsi="Arial" w:cs="Arial"/>
                <w:sz w:val="20"/>
                <w:szCs w:val="20"/>
              </w:rPr>
              <w:t xml:space="preserve"> Indian rights.</w:t>
            </w:r>
            <w:r w:rsidR="00DF3EB7">
              <w:rPr>
                <w:rFonts w:ascii="Arial" w:hAnsi="Arial" w:cs="Arial"/>
                <w:sz w:val="20"/>
                <w:szCs w:val="20"/>
              </w:rPr>
              <w:t xml:space="preserve"> </w:t>
            </w:r>
            <w:r w:rsidR="00502D46">
              <w:rPr>
                <w:rFonts w:ascii="Arial" w:hAnsi="Arial" w:cs="Arial"/>
                <w:sz w:val="20"/>
                <w:szCs w:val="20"/>
              </w:rPr>
              <w:t>View the Global News video on the decision</w:t>
            </w:r>
            <w:r w:rsidR="00596F15">
              <w:rPr>
                <w:rFonts w:ascii="Arial" w:hAnsi="Arial" w:cs="Arial"/>
                <w:sz w:val="20"/>
                <w:szCs w:val="20"/>
              </w:rPr>
              <w:t>,</w:t>
            </w:r>
            <w:r w:rsidR="005E07D6">
              <w:rPr>
                <w:rFonts w:ascii="Arial" w:hAnsi="Arial" w:cs="Arial"/>
                <w:sz w:val="20"/>
                <w:szCs w:val="20"/>
              </w:rPr>
              <w:t xml:space="preserve"> and </w:t>
            </w:r>
            <w:r w:rsidR="005E07D6" w:rsidRPr="00502D46">
              <w:rPr>
                <w:rFonts w:ascii="Arial" w:hAnsi="Arial" w:cs="Arial"/>
                <w:sz w:val="20"/>
                <w:szCs w:val="20"/>
              </w:rPr>
              <w:t>examine the written article that accompanies the video</w:t>
            </w:r>
            <w:r w:rsidR="005E07D6">
              <w:rPr>
                <w:rFonts w:ascii="Arial" w:hAnsi="Arial" w:cs="Arial"/>
                <w:sz w:val="20"/>
                <w:szCs w:val="20"/>
              </w:rPr>
              <w:t>.</w:t>
            </w:r>
          </w:p>
          <w:p w14:paraId="21A2A311" w14:textId="77777777" w:rsidR="004D3BCC" w:rsidRPr="00502D46" w:rsidRDefault="004D3BCC" w:rsidP="004D3BCC">
            <w:pPr>
              <w:pStyle w:val="BodyText1"/>
              <w:rPr>
                <w:rFonts w:ascii="Arial" w:hAnsi="Arial" w:cs="Arial"/>
                <w:sz w:val="20"/>
                <w:szCs w:val="20"/>
              </w:rPr>
            </w:pPr>
          </w:p>
          <w:p w14:paraId="5134211D" w14:textId="27C37BE8" w:rsidR="00E5300C" w:rsidRPr="00502D46" w:rsidRDefault="005E07D6" w:rsidP="00502D46">
            <w:pPr>
              <w:pStyle w:val="BodyText1"/>
              <w:rPr>
                <w:rFonts w:ascii="Arial" w:hAnsi="Arial" w:cs="Arial"/>
                <w:sz w:val="20"/>
                <w:szCs w:val="20"/>
              </w:rPr>
            </w:pPr>
            <w:r>
              <w:rPr>
                <w:rFonts w:ascii="Arial" w:hAnsi="Arial" w:cs="Arial"/>
                <w:sz w:val="20"/>
                <w:szCs w:val="20"/>
              </w:rPr>
              <w:t>Divide students into four groups</w:t>
            </w:r>
            <w:r w:rsidR="004E2AE0">
              <w:rPr>
                <w:rFonts w:ascii="Arial" w:hAnsi="Arial" w:cs="Arial"/>
                <w:sz w:val="20"/>
                <w:szCs w:val="20"/>
              </w:rPr>
              <w:t xml:space="preserve"> and identify a “table host” for each group. </w:t>
            </w:r>
            <w:r w:rsidR="00E5300C" w:rsidRPr="00502D46">
              <w:rPr>
                <w:rFonts w:ascii="Arial" w:hAnsi="Arial" w:cs="Arial"/>
                <w:sz w:val="20"/>
                <w:szCs w:val="20"/>
              </w:rPr>
              <w:t xml:space="preserve">Using a </w:t>
            </w:r>
            <w:r w:rsidR="00596F15">
              <w:rPr>
                <w:rFonts w:ascii="Arial" w:hAnsi="Arial" w:cs="Arial"/>
                <w:sz w:val="20"/>
                <w:szCs w:val="20"/>
              </w:rPr>
              <w:t>c</w:t>
            </w:r>
            <w:r w:rsidR="00E5300C" w:rsidRPr="00502D46">
              <w:rPr>
                <w:rFonts w:ascii="Arial" w:hAnsi="Arial" w:cs="Arial"/>
                <w:sz w:val="20"/>
                <w:szCs w:val="20"/>
              </w:rPr>
              <w:t xml:space="preserve">afé discussion strategy, </w:t>
            </w:r>
            <w:r w:rsidR="004E2AE0">
              <w:rPr>
                <w:rFonts w:ascii="Arial" w:hAnsi="Arial" w:cs="Arial"/>
                <w:sz w:val="20"/>
                <w:szCs w:val="20"/>
              </w:rPr>
              <w:t>each group</w:t>
            </w:r>
            <w:r w:rsidR="00E5300C" w:rsidRPr="00502D46">
              <w:rPr>
                <w:rFonts w:ascii="Arial" w:hAnsi="Arial" w:cs="Arial"/>
                <w:sz w:val="20"/>
                <w:szCs w:val="20"/>
              </w:rPr>
              <w:t xml:space="preserve"> will </w:t>
            </w:r>
            <w:r w:rsidR="007834D0">
              <w:rPr>
                <w:rFonts w:ascii="Arial" w:hAnsi="Arial" w:cs="Arial"/>
                <w:sz w:val="20"/>
                <w:szCs w:val="20"/>
              </w:rPr>
              <w:t xml:space="preserve">be assigned one of the questions below to discuss and </w:t>
            </w:r>
            <w:r w:rsidR="00E5300C" w:rsidRPr="00502D46">
              <w:rPr>
                <w:rFonts w:ascii="Arial" w:hAnsi="Arial" w:cs="Arial"/>
                <w:sz w:val="20"/>
                <w:szCs w:val="20"/>
              </w:rPr>
              <w:t>record their thoughts on</w:t>
            </w:r>
            <w:r w:rsidR="004E2AE0">
              <w:rPr>
                <w:rFonts w:ascii="Arial" w:hAnsi="Arial" w:cs="Arial"/>
                <w:sz w:val="20"/>
                <w:szCs w:val="20"/>
              </w:rPr>
              <w:t xml:space="preserve"> a</w:t>
            </w:r>
            <w:r w:rsidR="00E5300C" w:rsidRPr="00502D46">
              <w:rPr>
                <w:rFonts w:ascii="Arial" w:hAnsi="Arial" w:cs="Arial"/>
                <w:sz w:val="20"/>
                <w:szCs w:val="20"/>
              </w:rPr>
              <w:t xml:space="preserve"> large chart paper. </w:t>
            </w:r>
          </w:p>
          <w:p w14:paraId="57E738D0" w14:textId="322B7760" w:rsidR="00E5300C" w:rsidRPr="00502D46" w:rsidRDefault="007834D0" w:rsidP="00502D46">
            <w:pPr>
              <w:pStyle w:val="BodyText1"/>
              <w:numPr>
                <w:ilvl w:val="0"/>
                <w:numId w:val="18"/>
              </w:numPr>
              <w:rPr>
                <w:rFonts w:ascii="Arial" w:hAnsi="Arial" w:cs="Arial"/>
                <w:sz w:val="20"/>
                <w:szCs w:val="20"/>
              </w:rPr>
            </w:pPr>
            <w:r>
              <w:rPr>
                <w:rFonts w:ascii="Arial" w:hAnsi="Arial" w:cs="Arial"/>
                <w:sz w:val="20"/>
                <w:szCs w:val="20"/>
              </w:rPr>
              <w:t xml:space="preserve">What </w:t>
            </w:r>
            <w:r w:rsidR="00E5300C" w:rsidRPr="00502D46">
              <w:rPr>
                <w:rFonts w:ascii="Arial" w:hAnsi="Arial" w:cs="Arial"/>
                <w:sz w:val="20"/>
                <w:szCs w:val="20"/>
              </w:rPr>
              <w:t xml:space="preserve">aspects of this case address </w:t>
            </w:r>
            <w:r w:rsidR="00D10AFD">
              <w:rPr>
                <w:rFonts w:ascii="Arial" w:hAnsi="Arial" w:cs="Arial"/>
                <w:sz w:val="20"/>
                <w:szCs w:val="20"/>
              </w:rPr>
              <w:t>c</w:t>
            </w:r>
            <w:r w:rsidR="004D3BCC">
              <w:rPr>
                <w:rFonts w:ascii="Arial" w:hAnsi="Arial" w:cs="Arial"/>
                <w:sz w:val="20"/>
                <w:szCs w:val="20"/>
              </w:rPr>
              <w:t>ollective rights</w:t>
            </w:r>
            <w:r>
              <w:rPr>
                <w:rFonts w:ascii="Arial" w:hAnsi="Arial" w:cs="Arial"/>
                <w:sz w:val="20"/>
                <w:szCs w:val="20"/>
              </w:rPr>
              <w:t>?</w:t>
            </w:r>
          </w:p>
          <w:p w14:paraId="5C7B7740" w14:textId="4DDE1CA1" w:rsidR="00E5300C" w:rsidRPr="00502D46" w:rsidRDefault="007834D0" w:rsidP="00502D46">
            <w:pPr>
              <w:pStyle w:val="BodyText1"/>
              <w:numPr>
                <w:ilvl w:val="0"/>
                <w:numId w:val="18"/>
              </w:numPr>
              <w:rPr>
                <w:rFonts w:ascii="Arial" w:hAnsi="Arial" w:cs="Arial"/>
                <w:sz w:val="20"/>
                <w:szCs w:val="20"/>
              </w:rPr>
            </w:pPr>
            <w:r>
              <w:rPr>
                <w:rFonts w:ascii="Arial" w:hAnsi="Arial" w:cs="Arial"/>
                <w:sz w:val="20"/>
                <w:szCs w:val="20"/>
              </w:rPr>
              <w:t>What are the immediate</w:t>
            </w:r>
            <w:r w:rsidR="00E5300C" w:rsidRPr="00502D46">
              <w:rPr>
                <w:rFonts w:ascii="Arial" w:hAnsi="Arial" w:cs="Arial"/>
                <w:sz w:val="20"/>
                <w:szCs w:val="20"/>
              </w:rPr>
              <w:t xml:space="preserve"> </w:t>
            </w:r>
            <w:r w:rsidR="00D10AFD">
              <w:rPr>
                <w:rFonts w:ascii="Arial" w:hAnsi="Arial" w:cs="Arial"/>
                <w:sz w:val="20"/>
                <w:szCs w:val="20"/>
              </w:rPr>
              <w:t>impacts</w:t>
            </w:r>
            <w:r w:rsidR="00884D6A">
              <w:rPr>
                <w:rFonts w:ascii="Arial" w:hAnsi="Arial" w:cs="Arial"/>
                <w:sz w:val="20"/>
                <w:szCs w:val="20"/>
              </w:rPr>
              <w:t xml:space="preserve"> of this decision?</w:t>
            </w:r>
          </w:p>
          <w:p w14:paraId="079ABD7A" w14:textId="2761F42C" w:rsidR="00E5300C" w:rsidRPr="00502D46" w:rsidRDefault="00884D6A" w:rsidP="00502D46">
            <w:pPr>
              <w:pStyle w:val="BodyText1"/>
              <w:numPr>
                <w:ilvl w:val="0"/>
                <w:numId w:val="18"/>
              </w:numPr>
              <w:rPr>
                <w:rFonts w:ascii="Arial" w:hAnsi="Arial" w:cs="Arial"/>
                <w:sz w:val="20"/>
                <w:szCs w:val="20"/>
              </w:rPr>
            </w:pPr>
            <w:r>
              <w:rPr>
                <w:rFonts w:ascii="Arial" w:hAnsi="Arial" w:cs="Arial"/>
                <w:sz w:val="20"/>
                <w:szCs w:val="20"/>
              </w:rPr>
              <w:t xml:space="preserve">What </w:t>
            </w:r>
            <w:r w:rsidR="00E5300C" w:rsidRPr="00502D46">
              <w:rPr>
                <w:rFonts w:ascii="Arial" w:hAnsi="Arial" w:cs="Arial"/>
                <w:sz w:val="20"/>
                <w:szCs w:val="20"/>
              </w:rPr>
              <w:t xml:space="preserve">lasting </w:t>
            </w:r>
            <w:r w:rsidR="00D10AFD">
              <w:rPr>
                <w:rFonts w:ascii="Arial" w:hAnsi="Arial" w:cs="Arial"/>
                <w:sz w:val="20"/>
                <w:szCs w:val="20"/>
              </w:rPr>
              <w:t>impacts</w:t>
            </w:r>
            <w:r>
              <w:rPr>
                <w:rFonts w:ascii="Arial" w:hAnsi="Arial" w:cs="Arial"/>
                <w:sz w:val="20"/>
                <w:szCs w:val="20"/>
              </w:rPr>
              <w:t xml:space="preserve"> will this decision have?</w:t>
            </w:r>
          </w:p>
          <w:p w14:paraId="474B9C91" w14:textId="4CBEE860" w:rsidR="00E5300C" w:rsidRDefault="00884D6A" w:rsidP="00502D46">
            <w:pPr>
              <w:pStyle w:val="BodyText1"/>
              <w:numPr>
                <w:ilvl w:val="0"/>
                <w:numId w:val="18"/>
              </w:numPr>
              <w:rPr>
                <w:rFonts w:ascii="Arial" w:hAnsi="Arial" w:cs="Arial"/>
                <w:sz w:val="20"/>
                <w:szCs w:val="20"/>
              </w:rPr>
            </w:pPr>
            <w:r>
              <w:rPr>
                <w:rFonts w:ascii="Arial" w:hAnsi="Arial" w:cs="Arial"/>
                <w:sz w:val="20"/>
                <w:szCs w:val="20"/>
              </w:rPr>
              <w:t xml:space="preserve">How will </w:t>
            </w:r>
            <w:r w:rsidR="00E5300C" w:rsidRPr="00502D46">
              <w:rPr>
                <w:rFonts w:ascii="Arial" w:hAnsi="Arial" w:cs="Arial"/>
                <w:sz w:val="20"/>
                <w:szCs w:val="20"/>
              </w:rPr>
              <w:t>t</w:t>
            </w:r>
            <w:r w:rsidR="004D3BCC">
              <w:rPr>
                <w:rFonts w:ascii="Arial" w:hAnsi="Arial" w:cs="Arial"/>
                <w:sz w:val="20"/>
                <w:szCs w:val="20"/>
              </w:rPr>
              <w:t>he restoration of relationships</w:t>
            </w:r>
            <w:r>
              <w:rPr>
                <w:rFonts w:ascii="Arial" w:hAnsi="Arial" w:cs="Arial"/>
                <w:sz w:val="20"/>
                <w:szCs w:val="20"/>
              </w:rPr>
              <w:t xml:space="preserve"> be affected by this case?</w:t>
            </w:r>
          </w:p>
          <w:p w14:paraId="52C59A39" w14:textId="6B6A882B" w:rsidR="00596F15" w:rsidRDefault="00596F15" w:rsidP="00596F15">
            <w:pPr>
              <w:pStyle w:val="BodyText1"/>
              <w:rPr>
                <w:rFonts w:ascii="Arial" w:hAnsi="Arial" w:cs="Arial"/>
                <w:sz w:val="20"/>
                <w:szCs w:val="20"/>
              </w:rPr>
            </w:pPr>
          </w:p>
          <w:p w14:paraId="48AE8F72" w14:textId="6530461A" w:rsidR="003D739B" w:rsidRPr="00502D46" w:rsidRDefault="00596F15" w:rsidP="00596F15">
            <w:pPr>
              <w:pStyle w:val="BodyText1"/>
              <w:rPr>
                <w:rFonts w:ascii="Arial" w:hAnsi="Arial" w:cs="Arial"/>
                <w:sz w:val="20"/>
                <w:szCs w:val="20"/>
              </w:rPr>
            </w:pPr>
            <w:r>
              <w:rPr>
                <w:rFonts w:ascii="Arial" w:hAnsi="Arial" w:cs="Arial"/>
                <w:sz w:val="20"/>
                <w:szCs w:val="20"/>
              </w:rPr>
              <w:t xml:space="preserve">Each group </w:t>
            </w:r>
            <w:r w:rsidR="00884D6A">
              <w:rPr>
                <w:rFonts w:ascii="Arial" w:hAnsi="Arial" w:cs="Arial"/>
                <w:sz w:val="20"/>
                <w:szCs w:val="20"/>
              </w:rPr>
              <w:t>will</w:t>
            </w:r>
            <w:r>
              <w:rPr>
                <w:rFonts w:ascii="Arial" w:hAnsi="Arial" w:cs="Arial"/>
                <w:sz w:val="20"/>
                <w:szCs w:val="20"/>
              </w:rPr>
              <w:t xml:space="preserve"> move to a different </w:t>
            </w:r>
            <w:r w:rsidR="00884D6A">
              <w:rPr>
                <w:rFonts w:ascii="Arial" w:hAnsi="Arial" w:cs="Arial"/>
                <w:sz w:val="20"/>
                <w:szCs w:val="20"/>
              </w:rPr>
              <w:t>question</w:t>
            </w:r>
            <w:r w:rsidRPr="00502D46">
              <w:rPr>
                <w:rFonts w:ascii="Arial" w:hAnsi="Arial" w:cs="Arial"/>
                <w:sz w:val="20"/>
                <w:szCs w:val="20"/>
              </w:rPr>
              <w:t xml:space="preserve"> leaving their “table host” behind who welcomes the next group and briefly fills </w:t>
            </w:r>
            <w:r w:rsidR="00884D6A">
              <w:rPr>
                <w:rFonts w:ascii="Arial" w:hAnsi="Arial" w:cs="Arial"/>
                <w:sz w:val="20"/>
                <w:szCs w:val="20"/>
              </w:rPr>
              <w:t xml:space="preserve">the new group </w:t>
            </w:r>
            <w:r w:rsidRPr="00502D46">
              <w:rPr>
                <w:rFonts w:ascii="Arial" w:hAnsi="Arial" w:cs="Arial"/>
                <w:sz w:val="20"/>
                <w:szCs w:val="20"/>
              </w:rPr>
              <w:t xml:space="preserve">in on </w:t>
            </w:r>
            <w:r w:rsidR="00884D6A">
              <w:rPr>
                <w:rFonts w:ascii="Arial" w:hAnsi="Arial" w:cs="Arial"/>
                <w:sz w:val="20"/>
                <w:szCs w:val="20"/>
              </w:rPr>
              <w:t>thoughts collected from the previous group and add further items to the chart paper</w:t>
            </w:r>
            <w:r w:rsidRPr="00502D46">
              <w:rPr>
                <w:rFonts w:ascii="Arial" w:hAnsi="Arial" w:cs="Arial"/>
                <w:sz w:val="20"/>
                <w:szCs w:val="20"/>
              </w:rPr>
              <w:t xml:space="preserve">. </w:t>
            </w:r>
            <w:r>
              <w:rPr>
                <w:rFonts w:ascii="Arial" w:hAnsi="Arial" w:cs="Arial"/>
                <w:sz w:val="20"/>
                <w:szCs w:val="20"/>
              </w:rPr>
              <w:t xml:space="preserve">Groups will continue to rotate until </w:t>
            </w:r>
            <w:r w:rsidR="0087689E">
              <w:rPr>
                <w:rFonts w:ascii="Arial" w:hAnsi="Arial" w:cs="Arial"/>
                <w:sz w:val="20"/>
                <w:szCs w:val="20"/>
              </w:rPr>
              <w:t>they have had an opportunity to discuss all questions</w:t>
            </w:r>
            <w:r>
              <w:rPr>
                <w:rFonts w:ascii="Arial" w:hAnsi="Arial" w:cs="Arial"/>
                <w:sz w:val="20"/>
                <w:szCs w:val="20"/>
              </w:rPr>
              <w:t>.</w:t>
            </w:r>
          </w:p>
          <w:p w14:paraId="3AC23F18" w14:textId="0D1D1980" w:rsidR="00E5300C" w:rsidRPr="00502D46" w:rsidRDefault="00E5300C" w:rsidP="00ED23A4">
            <w:pPr>
              <w:spacing w:before="100" w:after="60"/>
              <w:rPr>
                <w:rFonts w:ascii="Arial" w:hAnsi="Arial" w:cs="Arial"/>
                <w:sz w:val="20"/>
                <w:szCs w:val="20"/>
              </w:rPr>
            </w:pPr>
            <w:r w:rsidRPr="00502D46">
              <w:rPr>
                <w:rFonts w:ascii="Arial" w:hAnsi="Arial" w:cs="Arial"/>
                <w:b/>
                <w:color w:val="FF7900"/>
                <w:sz w:val="24"/>
              </w:rPr>
              <w:t>Conclusion</w:t>
            </w:r>
          </w:p>
          <w:p w14:paraId="35258360" w14:textId="5EF10829" w:rsidR="003D739B" w:rsidRPr="00502D46" w:rsidRDefault="00E5300C" w:rsidP="00502D46">
            <w:pPr>
              <w:pStyle w:val="BodyText1"/>
              <w:rPr>
                <w:rFonts w:ascii="Arial" w:hAnsi="Arial" w:cs="Arial"/>
                <w:sz w:val="20"/>
                <w:szCs w:val="20"/>
              </w:rPr>
            </w:pPr>
            <w:r w:rsidRPr="00502D46">
              <w:rPr>
                <w:rFonts w:ascii="Arial" w:hAnsi="Arial" w:cs="Arial"/>
                <w:sz w:val="20"/>
                <w:szCs w:val="20"/>
              </w:rPr>
              <w:t xml:space="preserve">Students will engage in a talking circle (or discussion) to share their thoughts on the </w:t>
            </w:r>
            <w:r w:rsidR="0087689E">
              <w:rPr>
                <w:rFonts w:ascii="Arial" w:hAnsi="Arial" w:cs="Arial"/>
                <w:sz w:val="20"/>
                <w:szCs w:val="20"/>
              </w:rPr>
              <w:t>questions</w:t>
            </w:r>
            <w:r w:rsidR="004E2AE0" w:rsidRPr="00502D46">
              <w:rPr>
                <w:rFonts w:ascii="Arial" w:hAnsi="Arial" w:cs="Arial"/>
                <w:sz w:val="20"/>
                <w:szCs w:val="20"/>
              </w:rPr>
              <w:t xml:space="preserve"> </w:t>
            </w:r>
            <w:r w:rsidRPr="00502D46">
              <w:rPr>
                <w:rFonts w:ascii="Arial" w:hAnsi="Arial" w:cs="Arial"/>
                <w:sz w:val="20"/>
                <w:szCs w:val="20"/>
              </w:rPr>
              <w:t xml:space="preserve">explored in the </w:t>
            </w:r>
            <w:r w:rsidR="00596F15">
              <w:rPr>
                <w:rFonts w:ascii="Arial" w:hAnsi="Arial" w:cs="Arial"/>
                <w:sz w:val="20"/>
                <w:szCs w:val="20"/>
              </w:rPr>
              <w:t>c</w:t>
            </w:r>
            <w:r w:rsidRPr="00502D46">
              <w:rPr>
                <w:rFonts w:ascii="Arial" w:hAnsi="Arial" w:cs="Arial"/>
                <w:sz w:val="20"/>
                <w:szCs w:val="20"/>
              </w:rPr>
              <w:t>afé,</w:t>
            </w:r>
            <w:r w:rsidR="004E2AE0">
              <w:rPr>
                <w:rFonts w:ascii="Arial" w:hAnsi="Arial" w:cs="Arial"/>
                <w:sz w:val="20"/>
                <w:szCs w:val="20"/>
              </w:rPr>
              <w:t xml:space="preserve"> while </w:t>
            </w:r>
            <w:r w:rsidR="00C648F7">
              <w:rPr>
                <w:rFonts w:ascii="Arial" w:hAnsi="Arial" w:cs="Arial"/>
                <w:sz w:val="20"/>
                <w:szCs w:val="20"/>
              </w:rPr>
              <w:t>recognizing</w:t>
            </w:r>
            <w:r w:rsidRPr="00502D46">
              <w:rPr>
                <w:rFonts w:ascii="Arial" w:hAnsi="Arial" w:cs="Arial"/>
                <w:sz w:val="20"/>
                <w:szCs w:val="20"/>
              </w:rPr>
              <w:t xml:space="preserve"> the evolving and restoring relationship between the Canadian government and </w:t>
            </w:r>
            <w:r w:rsidR="00D10AFD">
              <w:rPr>
                <w:rFonts w:ascii="Arial" w:hAnsi="Arial" w:cs="Arial"/>
                <w:sz w:val="20"/>
                <w:szCs w:val="20"/>
              </w:rPr>
              <w:t>Métis a</w:t>
            </w:r>
            <w:r w:rsidR="00CA5374">
              <w:rPr>
                <w:rFonts w:ascii="Arial" w:hAnsi="Arial" w:cs="Arial"/>
                <w:sz w:val="20"/>
                <w:szCs w:val="20"/>
              </w:rPr>
              <w:t xml:space="preserve">nd </w:t>
            </w:r>
            <w:r w:rsidR="00596F15">
              <w:rPr>
                <w:rFonts w:ascii="Arial" w:hAnsi="Arial" w:cs="Arial"/>
                <w:sz w:val="20"/>
                <w:szCs w:val="20"/>
              </w:rPr>
              <w:t>n</w:t>
            </w:r>
            <w:r w:rsidR="00CA5374">
              <w:rPr>
                <w:rFonts w:ascii="Arial" w:hAnsi="Arial" w:cs="Arial"/>
                <w:sz w:val="20"/>
                <w:szCs w:val="20"/>
              </w:rPr>
              <w:t>on-</w:t>
            </w:r>
            <w:r w:rsidR="00596F15">
              <w:rPr>
                <w:rFonts w:ascii="Arial" w:hAnsi="Arial" w:cs="Arial"/>
                <w:sz w:val="20"/>
                <w:szCs w:val="20"/>
              </w:rPr>
              <w:t>s</w:t>
            </w:r>
            <w:r w:rsidR="00CA5374">
              <w:rPr>
                <w:rFonts w:ascii="Arial" w:hAnsi="Arial" w:cs="Arial"/>
                <w:sz w:val="20"/>
                <w:szCs w:val="20"/>
              </w:rPr>
              <w:t>tatus</w:t>
            </w:r>
            <w:r w:rsidR="00D10AFD">
              <w:rPr>
                <w:rFonts w:ascii="Arial" w:hAnsi="Arial" w:cs="Arial"/>
                <w:sz w:val="20"/>
                <w:szCs w:val="20"/>
              </w:rPr>
              <w:t xml:space="preserve"> Indians</w:t>
            </w:r>
            <w:r w:rsidRPr="00502D46">
              <w:rPr>
                <w:rFonts w:ascii="Arial" w:hAnsi="Arial" w:cs="Arial"/>
                <w:sz w:val="20"/>
                <w:szCs w:val="20"/>
              </w:rPr>
              <w:t>.</w:t>
            </w:r>
          </w:p>
          <w:p w14:paraId="476133B2" w14:textId="137C4D9C" w:rsidR="00901E33" w:rsidRPr="00502D46" w:rsidRDefault="00901E33" w:rsidP="00ED23A4">
            <w:pPr>
              <w:spacing w:before="100" w:after="60"/>
              <w:rPr>
                <w:rFonts w:ascii="Arial" w:hAnsi="Arial" w:cs="Arial"/>
                <w:b/>
                <w:color w:val="FF7900"/>
                <w:sz w:val="24"/>
              </w:rPr>
            </w:pPr>
            <w:r w:rsidRPr="00502D46">
              <w:rPr>
                <w:rFonts w:ascii="Arial" w:hAnsi="Arial" w:cs="Arial"/>
                <w:b/>
                <w:color w:val="FF7900"/>
                <w:sz w:val="24"/>
              </w:rPr>
              <w:t>Assessment for Student Learning</w:t>
            </w:r>
          </w:p>
          <w:p w14:paraId="0F7E13C8" w14:textId="44B195B9" w:rsidR="00901E33" w:rsidRPr="00D10AFD" w:rsidRDefault="00596F15" w:rsidP="00596F15">
            <w:pPr>
              <w:pStyle w:val="BodyText1"/>
              <w:spacing w:after="120"/>
              <w:rPr>
                <w:rFonts w:ascii="Arial" w:hAnsi="Arial" w:cs="Arial"/>
                <w:sz w:val="20"/>
                <w:szCs w:val="20"/>
              </w:rPr>
            </w:pPr>
            <w:r>
              <w:rPr>
                <w:rFonts w:ascii="Arial" w:hAnsi="Arial" w:cs="Arial"/>
                <w:sz w:val="20"/>
                <w:szCs w:val="20"/>
              </w:rPr>
              <w:t>Using a quick-</w:t>
            </w:r>
            <w:r w:rsidR="00E5300C" w:rsidRPr="00502D46">
              <w:rPr>
                <w:rFonts w:ascii="Arial" w:hAnsi="Arial" w:cs="Arial"/>
                <w:sz w:val="20"/>
                <w:szCs w:val="20"/>
              </w:rPr>
              <w:t>write</w:t>
            </w:r>
            <w:r w:rsidR="00C648F7">
              <w:rPr>
                <w:rFonts w:ascii="Arial" w:hAnsi="Arial" w:cs="Arial"/>
                <w:sz w:val="20"/>
                <w:szCs w:val="20"/>
              </w:rPr>
              <w:t xml:space="preserve"> strategy</w:t>
            </w:r>
            <w:r w:rsidR="00E5300C" w:rsidRPr="00502D46">
              <w:rPr>
                <w:rFonts w:ascii="Arial" w:hAnsi="Arial" w:cs="Arial"/>
                <w:sz w:val="20"/>
                <w:szCs w:val="20"/>
              </w:rPr>
              <w:t xml:space="preserve">, students will share their conclusions regarding the effectiveness of the Supreme Court of Canada in </w:t>
            </w:r>
            <w:r w:rsidR="00CA5374">
              <w:rPr>
                <w:rFonts w:ascii="Arial" w:hAnsi="Arial" w:cs="Arial"/>
                <w:sz w:val="20"/>
                <w:szCs w:val="20"/>
              </w:rPr>
              <w:t xml:space="preserve">extending rights to Métis and </w:t>
            </w:r>
            <w:r>
              <w:rPr>
                <w:rFonts w:ascii="Arial" w:hAnsi="Arial" w:cs="Arial"/>
                <w:sz w:val="20"/>
                <w:szCs w:val="20"/>
              </w:rPr>
              <w:t>n</w:t>
            </w:r>
            <w:r w:rsidR="00D10AFD">
              <w:rPr>
                <w:rFonts w:ascii="Arial" w:hAnsi="Arial" w:cs="Arial"/>
                <w:sz w:val="20"/>
                <w:szCs w:val="20"/>
              </w:rPr>
              <w:t>on-</w:t>
            </w:r>
            <w:r>
              <w:rPr>
                <w:rFonts w:ascii="Arial" w:hAnsi="Arial" w:cs="Arial"/>
                <w:sz w:val="20"/>
                <w:szCs w:val="20"/>
              </w:rPr>
              <w:t>s</w:t>
            </w:r>
            <w:r w:rsidR="00D10AFD">
              <w:rPr>
                <w:rFonts w:ascii="Arial" w:hAnsi="Arial" w:cs="Arial"/>
                <w:sz w:val="20"/>
                <w:szCs w:val="20"/>
              </w:rPr>
              <w:t>tatus Indians and the restoration of</w:t>
            </w:r>
            <w:r w:rsidR="00E5300C" w:rsidRPr="00502D46">
              <w:rPr>
                <w:rFonts w:ascii="Arial" w:hAnsi="Arial" w:cs="Arial"/>
                <w:sz w:val="20"/>
                <w:szCs w:val="20"/>
              </w:rPr>
              <w:t xml:space="preserve"> relationships. Some students can shar</w:t>
            </w:r>
            <w:r>
              <w:rPr>
                <w:rFonts w:ascii="Arial" w:hAnsi="Arial" w:cs="Arial"/>
                <w:sz w:val="20"/>
                <w:szCs w:val="20"/>
              </w:rPr>
              <w:t>e their thoughts with the class</w:t>
            </w:r>
            <w:r w:rsidR="00E5300C" w:rsidRPr="00502D46">
              <w:rPr>
                <w:rFonts w:ascii="Arial" w:hAnsi="Arial" w:cs="Arial"/>
                <w:sz w:val="20"/>
                <w:szCs w:val="20"/>
              </w:rPr>
              <w:t xml:space="preserve"> or with a partner.</w:t>
            </w:r>
          </w:p>
        </w:tc>
      </w:tr>
      <w:tr w:rsidR="00901E33" w14:paraId="5BF9BA75" w14:textId="77777777" w:rsidTr="0033704A">
        <w:trPr>
          <w:trHeight w:val="58"/>
        </w:trPr>
        <w:tc>
          <w:tcPr>
            <w:tcW w:w="10800" w:type="dxa"/>
            <w:shd w:val="clear" w:color="auto" w:fill="auto"/>
            <w:vAlign w:val="center"/>
          </w:tcPr>
          <w:p w14:paraId="34E82A76" w14:textId="610ADC18" w:rsidR="002B775E" w:rsidRDefault="002B775E" w:rsidP="000E0697">
            <w:pPr>
              <w:pStyle w:val="Title"/>
              <w:keepNext w:val="0"/>
              <w:keepLines w:val="0"/>
              <w:spacing w:before="60"/>
              <w:rPr>
                <w:rFonts w:eastAsiaTheme="minorHAnsi" w:cs="Arial"/>
                <w:b w:val="0"/>
                <w:color w:val="auto"/>
                <w:sz w:val="20"/>
                <w:szCs w:val="20"/>
              </w:rPr>
            </w:pPr>
            <w:r w:rsidRPr="0033704A">
              <w:rPr>
                <w:rFonts w:cs="Arial"/>
                <w:color w:val="FF7900"/>
                <w:sz w:val="20"/>
                <w:szCs w:val="20"/>
              </w:rPr>
              <w:lastRenderedPageBreak/>
              <w:t>Keywords:</w:t>
            </w:r>
            <w:r w:rsidRPr="00463692">
              <w:rPr>
                <w:rFonts w:eastAsiaTheme="minorHAnsi" w:cs="Arial"/>
                <w:b w:val="0"/>
                <w:color w:val="auto"/>
                <w:sz w:val="20"/>
                <w:szCs w:val="20"/>
              </w:rPr>
              <w:t xml:space="preserve"> </w:t>
            </w:r>
            <w:r w:rsidR="00E5300C">
              <w:rPr>
                <w:rFonts w:eastAsiaTheme="minorHAnsi" w:cs="Arial"/>
                <w:b w:val="0"/>
                <w:color w:val="auto"/>
                <w:sz w:val="20"/>
                <w:szCs w:val="20"/>
              </w:rPr>
              <w:t>cultural identity; restoration;</w:t>
            </w:r>
            <w:r w:rsidR="00E5300C" w:rsidRPr="00E5300C">
              <w:rPr>
                <w:rFonts w:eastAsiaTheme="minorHAnsi" w:cs="Arial"/>
                <w:b w:val="0"/>
                <w:color w:val="auto"/>
                <w:sz w:val="20"/>
                <w:szCs w:val="20"/>
              </w:rPr>
              <w:t xml:space="preserve"> </w:t>
            </w:r>
            <w:r w:rsidR="00E5300C">
              <w:rPr>
                <w:rFonts w:eastAsiaTheme="minorHAnsi" w:cs="Arial"/>
                <w:b w:val="0"/>
                <w:color w:val="auto"/>
                <w:sz w:val="20"/>
                <w:szCs w:val="20"/>
              </w:rPr>
              <w:t>relationship;</w:t>
            </w:r>
            <w:r w:rsidR="00E5300C" w:rsidRPr="00E5300C">
              <w:rPr>
                <w:rFonts w:eastAsiaTheme="minorHAnsi" w:cs="Arial"/>
                <w:b w:val="0"/>
                <w:color w:val="auto"/>
                <w:sz w:val="20"/>
                <w:szCs w:val="20"/>
              </w:rPr>
              <w:t xml:space="preserve"> Supreme Court of Canada</w:t>
            </w:r>
            <w:r w:rsidR="00E5300C">
              <w:rPr>
                <w:rFonts w:eastAsiaTheme="minorHAnsi" w:cs="Arial"/>
                <w:b w:val="0"/>
                <w:color w:val="auto"/>
                <w:sz w:val="20"/>
                <w:szCs w:val="20"/>
              </w:rPr>
              <w:t xml:space="preserve">; </w:t>
            </w:r>
            <w:r w:rsidR="00D10AFD" w:rsidRPr="00D10AFD">
              <w:rPr>
                <w:rFonts w:eastAsiaTheme="minorHAnsi" w:cs="Arial"/>
                <w:b w:val="0"/>
                <w:color w:val="auto"/>
                <w:sz w:val="20"/>
                <w:szCs w:val="20"/>
              </w:rPr>
              <w:t>Métis</w:t>
            </w:r>
            <w:r w:rsidR="00D10AFD">
              <w:rPr>
                <w:rFonts w:eastAsiaTheme="minorHAnsi" w:cs="Arial"/>
                <w:b w:val="0"/>
                <w:color w:val="auto"/>
                <w:sz w:val="20"/>
                <w:szCs w:val="20"/>
              </w:rPr>
              <w:t>;</w:t>
            </w:r>
            <w:r w:rsidR="00596F15">
              <w:rPr>
                <w:rFonts w:eastAsiaTheme="minorHAnsi" w:cs="Arial"/>
                <w:b w:val="0"/>
                <w:color w:val="auto"/>
                <w:sz w:val="20"/>
                <w:szCs w:val="20"/>
              </w:rPr>
              <w:t xml:space="preserve"> non-s</w:t>
            </w:r>
            <w:r w:rsidR="00D10AFD" w:rsidRPr="00D10AFD">
              <w:rPr>
                <w:rFonts w:eastAsiaTheme="minorHAnsi" w:cs="Arial"/>
                <w:b w:val="0"/>
                <w:color w:val="auto"/>
                <w:sz w:val="20"/>
                <w:szCs w:val="20"/>
              </w:rPr>
              <w:t>tatus Indians</w:t>
            </w:r>
          </w:p>
          <w:p w14:paraId="63EED1F6" w14:textId="3E9FE9B8" w:rsidR="00901E33" w:rsidRPr="00463692" w:rsidRDefault="002B775E" w:rsidP="000E0697">
            <w:pPr>
              <w:pStyle w:val="Title"/>
              <w:keepNext w:val="0"/>
              <w:keepLines w:val="0"/>
              <w:spacing w:before="120" w:after="60"/>
              <w:rPr>
                <w:rFonts w:eastAsiaTheme="minorHAnsi" w:cs="Arial"/>
                <w:b w:val="0"/>
                <w:color w:val="auto"/>
                <w:sz w:val="20"/>
                <w:szCs w:val="20"/>
              </w:rPr>
            </w:pPr>
            <w:r w:rsidRPr="0033704A">
              <w:rPr>
                <w:rFonts w:cs="Arial"/>
                <w:color w:val="FF7900"/>
                <w:sz w:val="20"/>
                <w:szCs w:val="20"/>
              </w:rPr>
              <w:t>Themes:</w:t>
            </w:r>
            <w:r w:rsidRPr="00463692">
              <w:rPr>
                <w:rFonts w:eastAsiaTheme="minorHAnsi" w:cs="Arial"/>
                <w:b w:val="0"/>
                <w:color w:val="auto"/>
                <w:sz w:val="20"/>
                <w:szCs w:val="20"/>
              </w:rPr>
              <w:t xml:space="preserve"> </w:t>
            </w:r>
            <w:r w:rsidR="00E5300C">
              <w:rPr>
                <w:rFonts w:eastAsiaTheme="minorHAnsi" w:cs="Arial"/>
                <w:b w:val="0"/>
                <w:color w:val="auto"/>
                <w:sz w:val="20"/>
                <w:szCs w:val="20"/>
              </w:rPr>
              <w:t>cultural identity;</w:t>
            </w:r>
            <w:r w:rsidR="00E5300C" w:rsidRPr="00E5300C">
              <w:rPr>
                <w:rFonts w:eastAsiaTheme="minorHAnsi" w:cs="Arial"/>
                <w:b w:val="0"/>
                <w:color w:val="auto"/>
                <w:sz w:val="20"/>
                <w:szCs w:val="20"/>
              </w:rPr>
              <w:t xml:space="preserve"> relationship</w:t>
            </w:r>
            <w:r w:rsidR="00E5300C">
              <w:rPr>
                <w:rFonts w:eastAsiaTheme="minorHAnsi" w:cs="Arial"/>
                <w:b w:val="0"/>
                <w:color w:val="auto"/>
                <w:sz w:val="20"/>
                <w:szCs w:val="20"/>
              </w:rPr>
              <w:t>;</w:t>
            </w:r>
            <w:r w:rsidR="00E5300C" w:rsidRPr="00E5300C">
              <w:rPr>
                <w:rFonts w:eastAsiaTheme="minorHAnsi" w:cs="Arial"/>
                <w:b w:val="0"/>
                <w:color w:val="auto"/>
                <w:sz w:val="20"/>
                <w:szCs w:val="20"/>
              </w:rPr>
              <w:t xml:space="preserve"> collective rights</w:t>
            </w:r>
            <w:r w:rsidR="00E5300C">
              <w:rPr>
                <w:rFonts w:eastAsiaTheme="minorHAnsi" w:cs="Arial"/>
                <w:b w:val="0"/>
                <w:color w:val="auto"/>
                <w:sz w:val="20"/>
                <w:szCs w:val="20"/>
              </w:rPr>
              <w:t>;</w:t>
            </w:r>
            <w:r w:rsidR="00E5300C" w:rsidRPr="00E5300C">
              <w:rPr>
                <w:rFonts w:eastAsiaTheme="minorHAnsi" w:cs="Arial"/>
                <w:b w:val="0"/>
                <w:color w:val="auto"/>
                <w:sz w:val="20"/>
                <w:szCs w:val="20"/>
              </w:rPr>
              <w:t xml:space="preserve"> perspective</w:t>
            </w:r>
            <w:r w:rsidR="00E5300C">
              <w:rPr>
                <w:rFonts w:eastAsiaTheme="minorHAnsi" w:cs="Arial"/>
                <w:b w:val="0"/>
                <w:color w:val="auto"/>
                <w:sz w:val="20"/>
                <w:szCs w:val="20"/>
              </w:rPr>
              <w:t>;</w:t>
            </w:r>
            <w:r w:rsidR="00E5300C" w:rsidRPr="00E5300C">
              <w:rPr>
                <w:rFonts w:eastAsiaTheme="minorHAnsi" w:cs="Arial"/>
                <w:b w:val="0"/>
                <w:color w:val="auto"/>
                <w:sz w:val="20"/>
                <w:szCs w:val="20"/>
              </w:rPr>
              <w:t xml:space="preserve"> impacts</w:t>
            </w:r>
          </w:p>
        </w:tc>
      </w:tr>
      <w:tr w:rsidR="00901E33" w14:paraId="46B7B433" w14:textId="77777777" w:rsidTr="0033704A">
        <w:trPr>
          <w:trHeight w:val="58"/>
        </w:trPr>
        <w:tc>
          <w:tcPr>
            <w:tcW w:w="10800" w:type="dxa"/>
            <w:shd w:val="clear" w:color="auto" w:fill="auto"/>
            <w:vAlign w:val="center"/>
          </w:tcPr>
          <w:p w14:paraId="6F6DA3C8" w14:textId="43D6DA1C" w:rsidR="00E5300C" w:rsidRPr="00D10AFD" w:rsidRDefault="002B775E" w:rsidP="000E0697">
            <w:pPr>
              <w:pStyle w:val="Title"/>
              <w:keepNext w:val="0"/>
              <w:keepLines w:val="0"/>
              <w:spacing w:before="60" w:after="60"/>
              <w:rPr>
                <w:rFonts w:cs="Arial"/>
                <w:color w:val="FF7900"/>
                <w:sz w:val="24"/>
                <w:szCs w:val="24"/>
              </w:rPr>
            </w:pPr>
            <w:r w:rsidRPr="0033704A">
              <w:rPr>
                <w:rFonts w:cs="Arial"/>
                <w:color w:val="FF7900"/>
                <w:sz w:val="24"/>
                <w:szCs w:val="24"/>
              </w:rPr>
              <w:t>Teacher Background</w:t>
            </w:r>
            <w:r w:rsidR="00AD075A" w:rsidRPr="00D805D9">
              <w:rPr>
                <w:rStyle w:val="EndnoteReference"/>
                <w:rFonts w:cs="Arial"/>
                <w:b w:val="0"/>
                <w:sz w:val="22"/>
              </w:rPr>
              <w:endnoteReference w:id="2"/>
            </w:r>
          </w:p>
          <w:p w14:paraId="3CA7054C" w14:textId="5B090E2B" w:rsidR="00CA5374" w:rsidRPr="00D805D9" w:rsidRDefault="00CA5374" w:rsidP="000E0697">
            <w:pPr>
              <w:tabs>
                <w:tab w:val="left" w:pos="9970"/>
              </w:tabs>
              <w:spacing w:before="60"/>
              <w:rPr>
                <w:rStyle w:val="tgc"/>
                <w:rFonts w:ascii="Arial" w:hAnsi="Arial" w:cs="Arial"/>
                <w:b/>
                <w:color w:val="222222"/>
                <w:sz w:val="20"/>
                <w:szCs w:val="20"/>
              </w:rPr>
            </w:pPr>
            <w:r w:rsidRPr="00D805D9">
              <w:rPr>
                <w:rStyle w:val="tgc"/>
                <w:rFonts w:ascii="Arial" w:hAnsi="Arial" w:cs="Arial"/>
                <w:b/>
                <w:color w:val="222222"/>
                <w:sz w:val="20"/>
                <w:szCs w:val="20"/>
              </w:rPr>
              <w:t>Indigenous and Northern Affairs Canada</w:t>
            </w:r>
            <w:r w:rsidR="00E202AF">
              <w:rPr>
                <w:rStyle w:val="tgc"/>
                <w:rFonts w:ascii="Arial" w:hAnsi="Arial" w:cs="Arial"/>
                <w:b/>
                <w:color w:val="222222"/>
                <w:sz w:val="20"/>
                <w:szCs w:val="20"/>
              </w:rPr>
              <w:t>:</w:t>
            </w:r>
            <w:r w:rsidRPr="00D805D9">
              <w:rPr>
                <w:rStyle w:val="tgc"/>
                <w:rFonts w:ascii="Arial" w:hAnsi="Arial" w:cs="Arial"/>
                <w:b/>
                <w:color w:val="222222"/>
                <w:sz w:val="20"/>
                <w:szCs w:val="20"/>
              </w:rPr>
              <w:t xml:space="preserve"> </w:t>
            </w:r>
            <w:r w:rsidR="00FF0889">
              <w:rPr>
                <w:rStyle w:val="tgc"/>
                <w:rFonts w:ascii="Arial" w:hAnsi="Arial" w:cs="Arial"/>
                <w:b/>
                <w:color w:val="222222"/>
                <w:sz w:val="20"/>
                <w:szCs w:val="20"/>
              </w:rPr>
              <w:t>Indigenous Peoples</w:t>
            </w:r>
          </w:p>
          <w:p w14:paraId="259147C2" w14:textId="012CB598" w:rsidR="00CA5374" w:rsidRPr="00D805D9" w:rsidRDefault="00D805D9" w:rsidP="00CA5374">
            <w:pPr>
              <w:pStyle w:val="ListParagraph"/>
              <w:numPr>
                <w:ilvl w:val="0"/>
                <w:numId w:val="9"/>
              </w:numPr>
              <w:rPr>
                <w:rStyle w:val="tgc"/>
                <w:rFonts w:ascii="Arial" w:hAnsi="Arial" w:cs="Arial"/>
                <w:color w:val="222222"/>
                <w:sz w:val="20"/>
                <w:szCs w:val="20"/>
              </w:rPr>
            </w:pPr>
            <w:r w:rsidRPr="00D805D9">
              <w:rPr>
                <w:rFonts w:ascii="Arial" w:hAnsi="Arial" w:cs="Arial"/>
                <w:sz w:val="20"/>
                <w:szCs w:val="20"/>
              </w:rPr>
              <w:t>(</w:t>
            </w:r>
            <w:hyperlink r:id="rId8" w:history="1">
              <w:r w:rsidR="00FF0889" w:rsidRPr="00FF0889">
                <w:rPr>
                  <w:rStyle w:val="Hyperlink"/>
                  <w:rFonts w:ascii="Arial" w:hAnsi="Arial" w:cs="Arial"/>
                  <w:sz w:val="20"/>
                  <w:szCs w:val="20"/>
                </w:rPr>
                <w:t>www.aadnc-aandc.gc.ca/eng/1100100013791/1100100013795</w:t>
              </w:r>
            </w:hyperlink>
            <w:r w:rsidRPr="00D805D9">
              <w:rPr>
                <w:rFonts w:ascii="Arial" w:hAnsi="Arial" w:cs="Arial"/>
                <w:sz w:val="20"/>
                <w:szCs w:val="20"/>
              </w:rPr>
              <w:t>)</w:t>
            </w:r>
          </w:p>
          <w:p w14:paraId="5C3110EA" w14:textId="5F438736" w:rsidR="00E5300C" w:rsidRPr="00D805D9" w:rsidRDefault="00E5300C" w:rsidP="000E0697">
            <w:pPr>
              <w:tabs>
                <w:tab w:val="left" w:pos="9970"/>
              </w:tabs>
              <w:spacing w:before="60"/>
              <w:rPr>
                <w:rFonts w:ascii="Arial" w:hAnsi="Arial" w:cs="Arial"/>
                <w:sz w:val="20"/>
                <w:szCs w:val="20"/>
              </w:rPr>
            </w:pPr>
            <w:r w:rsidRPr="00D805D9">
              <w:rPr>
                <w:rStyle w:val="tgc"/>
                <w:rFonts w:ascii="Arial" w:hAnsi="Arial" w:cs="Arial"/>
                <w:b/>
                <w:color w:val="222222"/>
                <w:sz w:val="20"/>
                <w:szCs w:val="20"/>
              </w:rPr>
              <w:t>United Nations</w:t>
            </w:r>
            <w:r w:rsidRPr="00D805D9">
              <w:rPr>
                <w:rStyle w:val="tgc"/>
                <w:rFonts w:ascii="Arial" w:hAnsi="Arial" w:cs="Arial"/>
                <w:color w:val="222222"/>
                <w:sz w:val="20"/>
                <w:szCs w:val="20"/>
              </w:rPr>
              <w:t xml:space="preserve"> </w:t>
            </w:r>
            <w:r w:rsidRPr="00D805D9">
              <w:rPr>
                <w:rFonts w:ascii="Arial" w:hAnsi="Arial" w:cs="Arial"/>
                <w:b/>
                <w:sz w:val="20"/>
                <w:szCs w:val="20"/>
              </w:rPr>
              <w:t xml:space="preserve">document on the </w:t>
            </w:r>
            <w:r w:rsidRPr="00D805D9">
              <w:rPr>
                <w:rStyle w:val="tgc"/>
                <w:rFonts w:ascii="Arial" w:hAnsi="Arial" w:cs="Arial"/>
                <w:b/>
                <w:color w:val="222222"/>
                <w:sz w:val="20"/>
                <w:szCs w:val="20"/>
              </w:rPr>
              <w:t>Declaration on the Rights of Indigenous Peoples</w:t>
            </w:r>
          </w:p>
          <w:p w14:paraId="41471B06" w14:textId="4ACF5372" w:rsidR="002B775E" w:rsidRPr="00D805D9" w:rsidRDefault="00D805D9" w:rsidP="00E5300C">
            <w:pPr>
              <w:pStyle w:val="ListParagraph"/>
              <w:numPr>
                <w:ilvl w:val="0"/>
                <w:numId w:val="9"/>
              </w:numPr>
              <w:rPr>
                <w:rFonts w:ascii="Arial" w:hAnsi="Arial" w:cs="Arial"/>
                <w:color w:val="222222"/>
                <w:sz w:val="20"/>
                <w:szCs w:val="20"/>
              </w:rPr>
            </w:pPr>
            <w:r w:rsidRPr="00D805D9">
              <w:rPr>
                <w:rFonts w:ascii="Arial" w:hAnsi="Arial" w:cs="Arial"/>
                <w:sz w:val="20"/>
                <w:szCs w:val="20"/>
              </w:rPr>
              <w:t>(</w:t>
            </w:r>
            <w:hyperlink r:id="rId9" w:history="1">
              <w:r w:rsidRPr="00C77263">
                <w:rPr>
                  <w:rStyle w:val="Hyperlink"/>
                  <w:rFonts w:ascii="Arial" w:hAnsi="Arial" w:cs="Arial"/>
                  <w:sz w:val="20"/>
                  <w:szCs w:val="20"/>
                </w:rPr>
                <w:t>www.ohchr.org/EN/Issues/IPeoples/Pages/Declaration.aspx</w:t>
              </w:r>
            </w:hyperlink>
            <w:r w:rsidRPr="00D805D9">
              <w:rPr>
                <w:rFonts w:ascii="Arial" w:hAnsi="Arial" w:cs="Arial"/>
                <w:sz w:val="20"/>
                <w:szCs w:val="20"/>
              </w:rPr>
              <w:t>)</w:t>
            </w:r>
          </w:p>
          <w:p w14:paraId="5FE48AAC" w14:textId="7AE3A5D3" w:rsidR="002B775E" w:rsidRPr="00D805D9" w:rsidRDefault="002B775E" w:rsidP="000E0697">
            <w:pPr>
              <w:spacing w:before="60"/>
              <w:rPr>
                <w:rFonts w:ascii="Arial" w:hAnsi="Arial" w:cs="Arial"/>
                <w:b/>
                <w:sz w:val="20"/>
                <w:szCs w:val="20"/>
              </w:rPr>
            </w:pPr>
            <w:r w:rsidRPr="00D805D9">
              <w:rPr>
                <w:rFonts w:ascii="Arial" w:hAnsi="Arial" w:cs="Arial"/>
                <w:b/>
                <w:sz w:val="20"/>
                <w:szCs w:val="20"/>
              </w:rPr>
              <w:t>Walking Together</w:t>
            </w:r>
            <w:r w:rsidR="00944CA5" w:rsidRPr="00902303">
              <w:rPr>
                <w:rFonts w:ascii="Arial" w:hAnsi="Arial" w:cs="Arial"/>
                <w:b/>
                <w:sz w:val="20"/>
                <w:szCs w:val="20"/>
              </w:rPr>
              <w:t>:</w:t>
            </w:r>
            <w:r w:rsidR="00944CA5" w:rsidRPr="0042153B">
              <w:rPr>
                <w:rFonts w:ascii="Arial" w:hAnsi="Arial" w:cs="Arial"/>
                <w:b/>
                <w:sz w:val="20"/>
                <w:szCs w:val="20"/>
              </w:rPr>
              <w:t xml:space="preserve"> First Nations, Métis and Inuit Perspectives in Curriculum (Alberta Education)</w:t>
            </w:r>
          </w:p>
          <w:p w14:paraId="5DA8CBFD" w14:textId="3B93CC73" w:rsidR="002B775E" w:rsidRPr="00D805D9" w:rsidRDefault="00D805D9" w:rsidP="002B775E">
            <w:pPr>
              <w:pStyle w:val="ListParagraph"/>
              <w:numPr>
                <w:ilvl w:val="0"/>
                <w:numId w:val="9"/>
              </w:numPr>
              <w:rPr>
                <w:rFonts w:ascii="Arial" w:hAnsi="Arial" w:cs="Arial"/>
                <w:sz w:val="20"/>
                <w:szCs w:val="20"/>
              </w:rPr>
            </w:pPr>
            <w:r w:rsidRPr="00D805D9">
              <w:rPr>
                <w:rFonts w:ascii="Arial" w:hAnsi="Arial" w:cs="Arial"/>
                <w:sz w:val="20"/>
                <w:szCs w:val="20"/>
              </w:rPr>
              <w:t>(</w:t>
            </w:r>
            <w:hyperlink r:id="rId10" w:history="1">
              <w:r w:rsidRPr="00C77263">
                <w:rPr>
                  <w:rStyle w:val="Hyperlink"/>
                  <w:rFonts w:ascii="Arial" w:hAnsi="Arial" w:cs="Arial"/>
                  <w:sz w:val="20"/>
                  <w:szCs w:val="20"/>
                </w:rPr>
                <w:t>www.learnalberta.ca/content/aswt/</w:t>
              </w:r>
            </w:hyperlink>
            <w:r w:rsidRPr="00D805D9">
              <w:rPr>
                <w:rFonts w:ascii="Arial" w:hAnsi="Arial" w:cs="Arial"/>
                <w:sz w:val="20"/>
                <w:szCs w:val="20"/>
              </w:rPr>
              <w:t>)</w:t>
            </w:r>
          </w:p>
          <w:p w14:paraId="2FA68B24" w14:textId="5B9BD31E" w:rsidR="002B775E" w:rsidRPr="00D805D9" w:rsidRDefault="002B775E" w:rsidP="000E0697">
            <w:pPr>
              <w:spacing w:before="60"/>
              <w:rPr>
                <w:rFonts w:ascii="Arial" w:hAnsi="Arial" w:cs="Arial"/>
                <w:b/>
                <w:sz w:val="20"/>
                <w:szCs w:val="20"/>
              </w:rPr>
            </w:pPr>
            <w:r w:rsidRPr="00D805D9">
              <w:rPr>
                <w:rFonts w:ascii="Arial" w:hAnsi="Arial" w:cs="Arial"/>
                <w:b/>
                <w:sz w:val="20"/>
                <w:szCs w:val="20"/>
              </w:rPr>
              <w:t>Guiding Voices</w:t>
            </w:r>
            <w:r w:rsidR="00944CA5" w:rsidRPr="0042153B">
              <w:rPr>
                <w:rFonts w:ascii="Arial" w:hAnsi="Arial" w:cs="Arial"/>
                <w:b/>
                <w:sz w:val="20"/>
                <w:szCs w:val="20"/>
              </w:rPr>
              <w:t>: A Curriculum Development Tool for Inclusion of First Nations, Métis and Inuit Perspectives Throughout the Curriculum (Alberta Education)</w:t>
            </w:r>
          </w:p>
          <w:p w14:paraId="6A401245" w14:textId="0F5659C9" w:rsidR="001E779A" w:rsidRDefault="00D805D9" w:rsidP="001E779A">
            <w:pPr>
              <w:pStyle w:val="ListParagraph"/>
              <w:numPr>
                <w:ilvl w:val="0"/>
                <w:numId w:val="20"/>
              </w:numPr>
              <w:spacing w:line="276" w:lineRule="auto"/>
              <w:rPr>
                <w:rFonts w:ascii="Arial" w:hAnsi="Arial" w:cs="Arial"/>
                <w:sz w:val="20"/>
                <w:szCs w:val="20"/>
              </w:rPr>
            </w:pPr>
            <w:r w:rsidRPr="00D805D9">
              <w:rPr>
                <w:rFonts w:ascii="Arial" w:hAnsi="Arial" w:cs="Arial"/>
                <w:sz w:val="20"/>
                <w:szCs w:val="20"/>
              </w:rPr>
              <w:t>(</w:t>
            </w:r>
            <w:hyperlink r:id="rId11" w:history="1">
              <w:r w:rsidRPr="00C77263">
                <w:rPr>
                  <w:rStyle w:val="Hyperlink"/>
                  <w:rFonts w:ascii="Arial" w:hAnsi="Arial" w:cs="Arial"/>
                  <w:sz w:val="20"/>
                  <w:szCs w:val="20"/>
                </w:rPr>
                <w:t>www.learnalberta.ca/content/fnmigv/index.html</w:t>
              </w:r>
            </w:hyperlink>
            <w:r w:rsidRPr="00D805D9">
              <w:rPr>
                <w:rFonts w:ascii="Arial" w:hAnsi="Arial" w:cs="Arial"/>
                <w:sz w:val="20"/>
                <w:szCs w:val="20"/>
              </w:rPr>
              <w:t>)</w:t>
            </w:r>
            <w:r w:rsidR="001E779A">
              <w:rPr>
                <w:rFonts w:ascii="Arial" w:hAnsi="Arial" w:cs="Arial"/>
                <w:sz w:val="20"/>
                <w:szCs w:val="20"/>
              </w:rPr>
              <w:t xml:space="preserve"> </w:t>
            </w:r>
          </w:p>
          <w:p w14:paraId="63441A74" w14:textId="3A621060" w:rsidR="002B775E" w:rsidRPr="00D10AFD" w:rsidRDefault="003D739B" w:rsidP="003D739B">
            <w:pPr>
              <w:pStyle w:val="ListParagraph"/>
              <w:rPr>
                <w:rFonts w:ascii="Arial" w:hAnsi="Arial" w:cs="Arial"/>
                <w:sz w:val="20"/>
                <w:szCs w:val="20"/>
              </w:rPr>
            </w:pPr>
            <w:r>
              <w:rPr>
                <w:rFonts w:ascii="Arial" w:hAnsi="Arial" w:cs="Arial"/>
                <w:i/>
                <w:sz w:val="18"/>
                <w:szCs w:val="20"/>
              </w:rPr>
              <w:t xml:space="preserve">* Terms and Concepts: </w:t>
            </w:r>
            <w:r w:rsidR="001E779A" w:rsidRPr="00AA5A5F">
              <w:rPr>
                <w:rFonts w:ascii="Arial" w:hAnsi="Arial" w:cs="Arial"/>
                <w:i/>
                <w:sz w:val="18"/>
                <w:szCs w:val="20"/>
              </w:rPr>
              <w:t>Indian is a legal term used by the Government of Canada</w:t>
            </w:r>
            <w:r>
              <w:rPr>
                <w:rFonts w:ascii="Arial" w:hAnsi="Arial" w:cs="Arial"/>
                <w:i/>
                <w:sz w:val="18"/>
                <w:szCs w:val="20"/>
              </w:rPr>
              <w:t>.</w:t>
            </w:r>
          </w:p>
        </w:tc>
      </w:tr>
    </w:tbl>
    <w:p w14:paraId="4262F5AC" w14:textId="4E047633" w:rsidR="00406875" w:rsidRPr="000E0697" w:rsidRDefault="00406875" w:rsidP="00463692">
      <w:pPr>
        <w:rPr>
          <w:rFonts w:ascii="Arial" w:hAnsi="Arial" w:cs="Arial"/>
          <w:sz w:val="10"/>
          <w:szCs w:val="18"/>
        </w:rPr>
      </w:pPr>
    </w:p>
    <w:sectPr w:rsidR="00406875" w:rsidRPr="000E0697" w:rsidSect="00D805D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567" w:footer="454"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40AA068E" w:rsidR="00B76650" w:rsidRPr="0033704A" w:rsidRDefault="00B76650" w:rsidP="00B76650">
      <w:pPr>
        <w:pStyle w:val="EndnoteText"/>
        <w:rPr>
          <w:rFonts w:ascii="Arial" w:hAnsi="Arial" w:cs="Arial"/>
          <w:color w:val="FF7900"/>
        </w:rPr>
      </w:pPr>
      <w:r w:rsidRPr="0033704A">
        <w:rPr>
          <w:rStyle w:val="EndnoteReference"/>
          <w:rFonts w:ascii="Arial" w:hAnsi="Arial" w:cs="Arial"/>
          <w:color w:val="FF7900"/>
        </w:rPr>
        <w:endnoteRef/>
      </w:r>
      <w:r w:rsidRPr="0033704A">
        <w:rPr>
          <w:rFonts w:ascii="Arial" w:hAnsi="Arial" w:cs="Arial"/>
          <w:color w:val="FF7900"/>
        </w:rPr>
        <w:t xml:space="preserve"> </w:t>
      </w:r>
      <w:r w:rsidR="00F96988" w:rsidRPr="00F96988">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A6409D">
        <w:rPr>
          <w:rFonts w:ascii="Arial" w:hAnsi="Arial" w:cs="Arial"/>
          <w:color w:val="FF7900"/>
          <w:sz w:val="18"/>
        </w:rPr>
        <w:t>,</w:t>
      </w:r>
      <w:r w:rsidR="00F96988" w:rsidRPr="00F96988">
        <w:rPr>
          <w:rFonts w:ascii="Arial" w:hAnsi="Arial" w:cs="Arial"/>
          <w:color w:val="FF7900"/>
          <w:sz w:val="18"/>
        </w:rPr>
        <w:t xml:space="preserve"> or </w:t>
      </w:r>
      <w:r w:rsidR="00A6409D">
        <w:rPr>
          <w:rFonts w:ascii="Arial" w:hAnsi="Arial" w:cs="Arial"/>
          <w:color w:val="FF7900"/>
          <w:sz w:val="18"/>
        </w:rPr>
        <w:t>n</w:t>
      </w:r>
      <w:r w:rsidR="00F96988" w:rsidRPr="00F96988">
        <w:rPr>
          <w:rFonts w:ascii="Arial" w:hAnsi="Arial" w:cs="Arial"/>
          <w:color w:val="FF7900"/>
          <w:sz w:val="18"/>
        </w:rPr>
        <w:t>ation; they are not intended to represent the perspectives of all First Nations, Métis</w:t>
      </w:r>
      <w:r w:rsidR="00A6409D">
        <w:rPr>
          <w:rFonts w:ascii="Arial" w:hAnsi="Arial" w:cs="Arial"/>
          <w:color w:val="FF7900"/>
          <w:sz w:val="18"/>
        </w:rPr>
        <w:t>,</w:t>
      </w:r>
      <w:r w:rsidR="00F96988" w:rsidRPr="00F96988">
        <w:rPr>
          <w:rFonts w:ascii="Arial" w:hAnsi="Arial" w:cs="Arial"/>
          <w:color w:val="FF7900"/>
          <w:sz w:val="18"/>
        </w:rPr>
        <w:t xml:space="preserve"> or Inuit.</w:t>
      </w:r>
    </w:p>
  </w:endnote>
  <w:endnote w:id="2">
    <w:p w14:paraId="247A30FA" w14:textId="77777777" w:rsidR="00AD075A" w:rsidRPr="00B6167D" w:rsidRDefault="00AD075A" w:rsidP="00AD075A">
      <w:pPr>
        <w:pStyle w:val="EndnoteText"/>
        <w:rPr>
          <w:color w:val="C05017"/>
        </w:rPr>
      </w:pPr>
      <w:r w:rsidRPr="003C475F">
        <w:rPr>
          <w:rStyle w:val="EndnoteReference"/>
          <w:color w:val="FF7900"/>
        </w:rPr>
        <w:endnoteRef/>
      </w:r>
      <w:r w:rsidRPr="003C475F">
        <w:rPr>
          <w:color w:val="FF7900"/>
        </w:rPr>
        <w:t xml:space="preserve"> </w:t>
      </w:r>
      <w:r w:rsidRPr="003C475F">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640E" w14:textId="77777777" w:rsidR="00C92CE0" w:rsidRDefault="00C92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65A8F002" w:rsidR="00CF0402" w:rsidRPr="0033704A" w:rsidRDefault="00AD075A"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59264" behindDoc="1" locked="0" layoutInCell="1" allowOverlap="1" wp14:anchorId="2B104CCE" wp14:editId="2B5F3B80">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C92CE0">
      <w:rPr>
        <w:noProof/>
        <w:color w:val="FF7900"/>
      </w:rPr>
      <w:t>3</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3A455BAD" w:rsidR="00EF6E89" w:rsidRPr="0033704A" w:rsidRDefault="00AD075A"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61312" behindDoc="1" locked="0" layoutInCell="1" allowOverlap="1" wp14:anchorId="758CE05B" wp14:editId="38880955">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C92CE0">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B1F2" w14:textId="77777777" w:rsidR="00C92CE0" w:rsidRDefault="00C9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71B77B0B" w:rsidR="00CD4A57" w:rsidRPr="0033704A" w:rsidRDefault="00CD4A57" w:rsidP="00463692">
    <w:pPr>
      <w:pStyle w:val="Footer"/>
      <w:tabs>
        <w:tab w:val="right" w:pos="10800"/>
      </w:tabs>
      <w:spacing w:after="120"/>
      <w:rPr>
        <w:color w:val="FF7900"/>
      </w:rPr>
    </w:pPr>
    <w:r w:rsidRPr="0033704A">
      <w:rPr>
        <w:color w:val="FF7900"/>
      </w:rPr>
      <w:t xml:space="preserve">Social Studies, </w:t>
    </w:r>
    <w:r w:rsidR="00233440" w:rsidRPr="0033704A">
      <w:rPr>
        <w:color w:val="FF7900"/>
      </w:rPr>
      <w:t>Grade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C2AE" w14:textId="77777777" w:rsidR="00C92CE0" w:rsidRDefault="00C92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0B55740"/>
    <w:multiLevelType w:val="hybridMultilevel"/>
    <w:tmpl w:val="ED9C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30C24"/>
    <w:multiLevelType w:val="hybridMultilevel"/>
    <w:tmpl w:val="D98C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F1DFF"/>
    <w:multiLevelType w:val="hybridMultilevel"/>
    <w:tmpl w:val="FDD6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B89"/>
    <w:multiLevelType w:val="hybridMultilevel"/>
    <w:tmpl w:val="F91E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0AF00FAE"/>
    <w:lvl w:ilvl="0" w:tplc="052011BE">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C1CC1"/>
    <w:multiLevelType w:val="hybridMultilevel"/>
    <w:tmpl w:val="43B036A4"/>
    <w:lvl w:ilvl="0" w:tplc="052011BE">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86AA3"/>
    <w:multiLevelType w:val="hybridMultilevel"/>
    <w:tmpl w:val="5D1C7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838B7"/>
    <w:multiLevelType w:val="hybridMultilevel"/>
    <w:tmpl w:val="17C43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B154D7"/>
    <w:multiLevelType w:val="hybridMultilevel"/>
    <w:tmpl w:val="F90C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B73B2"/>
    <w:multiLevelType w:val="hybridMultilevel"/>
    <w:tmpl w:val="B7FA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7"/>
  </w:num>
  <w:num w:numId="5">
    <w:abstractNumId w:val="17"/>
  </w:num>
  <w:num w:numId="6">
    <w:abstractNumId w:val="8"/>
  </w:num>
  <w:num w:numId="7">
    <w:abstractNumId w:val="13"/>
  </w:num>
  <w:num w:numId="8">
    <w:abstractNumId w:val="6"/>
  </w:num>
  <w:num w:numId="9">
    <w:abstractNumId w:val="9"/>
  </w:num>
  <w:num w:numId="10">
    <w:abstractNumId w:val="0"/>
  </w:num>
  <w:num w:numId="11">
    <w:abstractNumId w:val="18"/>
  </w:num>
  <w:num w:numId="12">
    <w:abstractNumId w:val="3"/>
  </w:num>
  <w:num w:numId="13">
    <w:abstractNumId w:val="2"/>
  </w:num>
  <w:num w:numId="14">
    <w:abstractNumId w:val="5"/>
  </w:num>
  <w:num w:numId="15">
    <w:abstractNumId w:val="12"/>
  </w:num>
  <w:num w:numId="16">
    <w:abstractNumId w:val="1"/>
  </w:num>
  <w:num w:numId="17">
    <w:abstractNumId w:val="14"/>
  </w:num>
  <w:num w:numId="18">
    <w:abstractNumId w:val="1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3372C"/>
    <w:rsid w:val="000512BA"/>
    <w:rsid w:val="000566BB"/>
    <w:rsid w:val="00070238"/>
    <w:rsid w:val="000E0697"/>
    <w:rsid w:val="000E7CAC"/>
    <w:rsid w:val="000F29B5"/>
    <w:rsid w:val="001004F8"/>
    <w:rsid w:val="00120411"/>
    <w:rsid w:val="00142704"/>
    <w:rsid w:val="00153757"/>
    <w:rsid w:val="00175DC1"/>
    <w:rsid w:val="00177D22"/>
    <w:rsid w:val="00192E24"/>
    <w:rsid w:val="00195B26"/>
    <w:rsid w:val="001A47A6"/>
    <w:rsid w:val="001E4F32"/>
    <w:rsid w:val="001E779A"/>
    <w:rsid w:val="002015EB"/>
    <w:rsid w:val="002057EE"/>
    <w:rsid w:val="00210685"/>
    <w:rsid w:val="002266CC"/>
    <w:rsid w:val="00233440"/>
    <w:rsid w:val="00245D19"/>
    <w:rsid w:val="002550A2"/>
    <w:rsid w:val="00255C42"/>
    <w:rsid w:val="00297B9E"/>
    <w:rsid w:val="002A0DCE"/>
    <w:rsid w:val="002A22BC"/>
    <w:rsid w:val="002A4AFA"/>
    <w:rsid w:val="002B07D8"/>
    <w:rsid w:val="002B775E"/>
    <w:rsid w:val="002C0282"/>
    <w:rsid w:val="002C2512"/>
    <w:rsid w:val="002E0FB2"/>
    <w:rsid w:val="00302DDD"/>
    <w:rsid w:val="00304CA7"/>
    <w:rsid w:val="003363D6"/>
    <w:rsid w:val="0033704A"/>
    <w:rsid w:val="00362FA4"/>
    <w:rsid w:val="00392FCE"/>
    <w:rsid w:val="003B11A3"/>
    <w:rsid w:val="003D739B"/>
    <w:rsid w:val="00404325"/>
    <w:rsid w:val="00406875"/>
    <w:rsid w:val="0042195F"/>
    <w:rsid w:val="00426FFB"/>
    <w:rsid w:val="00431633"/>
    <w:rsid w:val="00463692"/>
    <w:rsid w:val="0046478F"/>
    <w:rsid w:val="004927E3"/>
    <w:rsid w:val="004C3639"/>
    <w:rsid w:val="004D3BCC"/>
    <w:rsid w:val="004E1E4E"/>
    <w:rsid w:val="004E2AE0"/>
    <w:rsid w:val="004E705A"/>
    <w:rsid w:val="004F2569"/>
    <w:rsid w:val="00502D46"/>
    <w:rsid w:val="005109F5"/>
    <w:rsid w:val="0053692E"/>
    <w:rsid w:val="00575303"/>
    <w:rsid w:val="00577EFC"/>
    <w:rsid w:val="00582EE3"/>
    <w:rsid w:val="00596F15"/>
    <w:rsid w:val="005C0B3A"/>
    <w:rsid w:val="005C58FB"/>
    <w:rsid w:val="005C5EC5"/>
    <w:rsid w:val="005D738F"/>
    <w:rsid w:val="005E07D6"/>
    <w:rsid w:val="005E4016"/>
    <w:rsid w:val="005F26A8"/>
    <w:rsid w:val="005F2FF9"/>
    <w:rsid w:val="006073AC"/>
    <w:rsid w:val="00611DDC"/>
    <w:rsid w:val="00634BEB"/>
    <w:rsid w:val="00641BD4"/>
    <w:rsid w:val="00654AE2"/>
    <w:rsid w:val="00655086"/>
    <w:rsid w:val="00662700"/>
    <w:rsid w:val="00673EF4"/>
    <w:rsid w:val="0068073F"/>
    <w:rsid w:val="00684581"/>
    <w:rsid w:val="006B4323"/>
    <w:rsid w:val="006B4B37"/>
    <w:rsid w:val="006C3D5A"/>
    <w:rsid w:val="006D5DCF"/>
    <w:rsid w:val="00704DAB"/>
    <w:rsid w:val="00705026"/>
    <w:rsid w:val="00706E24"/>
    <w:rsid w:val="0072053E"/>
    <w:rsid w:val="00731993"/>
    <w:rsid w:val="00747093"/>
    <w:rsid w:val="007577AE"/>
    <w:rsid w:val="00770D10"/>
    <w:rsid w:val="007733DF"/>
    <w:rsid w:val="007834D0"/>
    <w:rsid w:val="00795923"/>
    <w:rsid w:val="007A4B21"/>
    <w:rsid w:val="007F758F"/>
    <w:rsid w:val="00841262"/>
    <w:rsid w:val="00861EB1"/>
    <w:rsid w:val="0087689E"/>
    <w:rsid w:val="00877825"/>
    <w:rsid w:val="00884D6A"/>
    <w:rsid w:val="00895706"/>
    <w:rsid w:val="008B6710"/>
    <w:rsid w:val="00901E33"/>
    <w:rsid w:val="00901F78"/>
    <w:rsid w:val="00924FF1"/>
    <w:rsid w:val="00942B81"/>
    <w:rsid w:val="00944CA5"/>
    <w:rsid w:val="009612E7"/>
    <w:rsid w:val="00967EB0"/>
    <w:rsid w:val="00987D5D"/>
    <w:rsid w:val="009B3116"/>
    <w:rsid w:val="009C0BB0"/>
    <w:rsid w:val="009F7E8D"/>
    <w:rsid w:val="00A20DAC"/>
    <w:rsid w:val="00A26870"/>
    <w:rsid w:val="00A5302A"/>
    <w:rsid w:val="00A6409D"/>
    <w:rsid w:val="00A9422B"/>
    <w:rsid w:val="00AD075A"/>
    <w:rsid w:val="00AF460B"/>
    <w:rsid w:val="00B12DAC"/>
    <w:rsid w:val="00B2335C"/>
    <w:rsid w:val="00B23DFC"/>
    <w:rsid w:val="00B44D77"/>
    <w:rsid w:val="00B56492"/>
    <w:rsid w:val="00B65FC3"/>
    <w:rsid w:val="00B67132"/>
    <w:rsid w:val="00B76650"/>
    <w:rsid w:val="00B84A43"/>
    <w:rsid w:val="00B856A5"/>
    <w:rsid w:val="00BA4F8D"/>
    <w:rsid w:val="00BB0241"/>
    <w:rsid w:val="00BD3E71"/>
    <w:rsid w:val="00BE0C9E"/>
    <w:rsid w:val="00BE6723"/>
    <w:rsid w:val="00BE72E4"/>
    <w:rsid w:val="00BF0DFE"/>
    <w:rsid w:val="00C13684"/>
    <w:rsid w:val="00C42B2D"/>
    <w:rsid w:val="00C45AF1"/>
    <w:rsid w:val="00C50825"/>
    <w:rsid w:val="00C648F7"/>
    <w:rsid w:val="00C92CE0"/>
    <w:rsid w:val="00CA5374"/>
    <w:rsid w:val="00CB20D7"/>
    <w:rsid w:val="00CD3A5E"/>
    <w:rsid w:val="00CD4A57"/>
    <w:rsid w:val="00CF0402"/>
    <w:rsid w:val="00D10AFD"/>
    <w:rsid w:val="00D41D2D"/>
    <w:rsid w:val="00D447AB"/>
    <w:rsid w:val="00D648DC"/>
    <w:rsid w:val="00D73DC0"/>
    <w:rsid w:val="00D805D9"/>
    <w:rsid w:val="00D8300A"/>
    <w:rsid w:val="00D95234"/>
    <w:rsid w:val="00DA77AD"/>
    <w:rsid w:val="00DC734C"/>
    <w:rsid w:val="00DD0A98"/>
    <w:rsid w:val="00DF3EB7"/>
    <w:rsid w:val="00DF5798"/>
    <w:rsid w:val="00E038D3"/>
    <w:rsid w:val="00E10DAE"/>
    <w:rsid w:val="00E15499"/>
    <w:rsid w:val="00E15CD0"/>
    <w:rsid w:val="00E202AF"/>
    <w:rsid w:val="00E35275"/>
    <w:rsid w:val="00E5300C"/>
    <w:rsid w:val="00E540C7"/>
    <w:rsid w:val="00E66ACC"/>
    <w:rsid w:val="00E81ED0"/>
    <w:rsid w:val="00E85806"/>
    <w:rsid w:val="00EA2D7B"/>
    <w:rsid w:val="00EA363D"/>
    <w:rsid w:val="00EA6F4A"/>
    <w:rsid w:val="00EB4BC0"/>
    <w:rsid w:val="00ED23A4"/>
    <w:rsid w:val="00ED3CAE"/>
    <w:rsid w:val="00ED773D"/>
    <w:rsid w:val="00EE5FED"/>
    <w:rsid w:val="00EF4E00"/>
    <w:rsid w:val="00EF4F83"/>
    <w:rsid w:val="00EF6E89"/>
    <w:rsid w:val="00F26B52"/>
    <w:rsid w:val="00F33D31"/>
    <w:rsid w:val="00F35644"/>
    <w:rsid w:val="00F4147E"/>
    <w:rsid w:val="00F52064"/>
    <w:rsid w:val="00F77D1A"/>
    <w:rsid w:val="00F86460"/>
    <w:rsid w:val="00F9217F"/>
    <w:rsid w:val="00F96988"/>
    <w:rsid w:val="00FB4A17"/>
    <w:rsid w:val="00FC0DDF"/>
    <w:rsid w:val="00FC0EA0"/>
    <w:rsid w:val="00FD17D0"/>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uiPriority w:val="99"/>
    <w:qFormat/>
    <w:rsid w:val="00E5300C"/>
    <w:pPr>
      <w:spacing w:after="60" w:line="240" w:lineRule="auto"/>
    </w:pPr>
    <w:rPr>
      <w:rFonts w:ascii="Times New Roman" w:hAnsi="Times New Roman"/>
      <w:b/>
    </w:rPr>
  </w:style>
  <w:style w:type="character" w:customStyle="1" w:styleId="tgc">
    <w:name w:val="_tgc"/>
    <w:basedOn w:val="DefaultParagraphFont"/>
    <w:rsid w:val="00E5300C"/>
  </w:style>
  <w:style w:type="character" w:customStyle="1" w:styleId="apple-converted-space">
    <w:name w:val="apple-converted-space"/>
    <w:basedOn w:val="DefaultParagraphFont"/>
    <w:rsid w:val="00CA5374"/>
  </w:style>
  <w:style w:type="character" w:styleId="HTMLCite">
    <w:name w:val="HTML Cite"/>
    <w:basedOn w:val="DefaultParagraphFont"/>
    <w:uiPriority w:val="99"/>
    <w:semiHidden/>
    <w:unhideWhenUsed/>
    <w:rsid w:val="00CA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dnc-aandc.gc.ca/eng/1100100013791/11001000137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news.ca/news/2637867/supreme-court-ruling-on-rights-of-metis-off-reserve-indians-to-affect-provinces-municipaliti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Issues/IPeoples/Pages/Declaration.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2017-10-23T16:51:00Z</dcterms:created>
  <dcterms:modified xsi:type="dcterms:W3CDTF">2017-10-23T16:51:00Z</dcterms:modified>
</cp:coreProperties>
</file>